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C7" w:rsidRDefault="00312AC7" w:rsidP="00312AC7">
      <w:pPr>
        <w:rPr>
          <w:noProof/>
          <w:lang w:eastAsia="es-DO"/>
        </w:rPr>
      </w:pPr>
    </w:p>
    <w:p w:rsidR="00312AC7" w:rsidRDefault="00312AC7" w:rsidP="00312AC7">
      <w:pPr>
        <w:rPr>
          <w:noProof/>
          <w:lang w:eastAsia="es-DO"/>
        </w:rPr>
      </w:pPr>
    </w:p>
    <w:p w:rsidR="00312AC7" w:rsidRDefault="00312AC7" w:rsidP="00312AC7">
      <w:pPr>
        <w:rPr>
          <w:noProof/>
          <w:lang w:eastAsia="es-DO"/>
        </w:rPr>
      </w:pPr>
    </w:p>
    <w:p w:rsidR="00312AC7" w:rsidRDefault="00312AC7" w:rsidP="00312AC7">
      <w:pPr>
        <w:rPr>
          <w:noProof/>
          <w:lang w:eastAsia="es-DO"/>
        </w:rPr>
      </w:pPr>
    </w:p>
    <w:p w:rsidR="00312AC7" w:rsidRPr="00D15D70" w:rsidRDefault="00312AC7" w:rsidP="00312AC7">
      <w:pPr>
        <w:jc w:val="center"/>
        <w:rPr>
          <w:color w:val="7030A0"/>
        </w:rPr>
      </w:pPr>
      <w:r>
        <w:rPr>
          <w:noProof/>
          <w:lang w:eastAsia="es-DO"/>
        </w:rPr>
        <w:drawing>
          <wp:inline distT="0" distB="0" distL="0" distR="0" wp14:anchorId="14D1C93F" wp14:editId="4F223DD1">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312AC7" w:rsidRDefault="00312AC7" w:rsidP="00312AC7"/>
    <w:p w:rsidR="00312AC7" w:rsidRDefault="00312AC7" w:rsidP="00312AC7">
      <w:r>
        <w:t xml:space="preserve"> </w:t>
      </w:r>
    </w:p>
    <w:tbl>
      <w:tblPr>
        <w:tblStyle w:val="Sombreadoclaro-nfasis1"/>
        <w:tblW w:w="9322" w:type="dxa"/>
        <w:jc w:val="center"/>
        <w:tblLook w:val="0000" w:firstRow="0" w:lastRow="0" w:firstColumn="0" w:lastColumn="0" w:noHBand="0" w:noVBand="0"/>
      </w:tblPr>
      <w:tblGrid>
        <w:gridCol w:w="9322"/>
      </w:tblGrid>
      <w:tr w:rsidR="00312AC7" w:rsidTr="00360361">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312AC7" w:rsidRPr="00582F32" w:rsidRDefault="00312AC7" w:rsidP="00360361">
            <w:pPr>
              <w:spacing w:after="200" w:line="276" w:lineRule="auto"/>
              <w:jc w:val="center"/>
              <w:rPr>
                <w:b/>
                <w:color w:val="0070C0"/>
                <w:sz w:val="36"/>
              </w:rPr>
            </w:pPr>
            <w:r w:rsidRPr="00582F32">
              <w:rPr>
                <w:b/>
                <w:color w:val="0070C0"/>
                <w:sz w:val="36"/>
              </w:rPr>
              <w:t>BOLETÍN INFORMATIVO ESTADÍSTICO</w:t>
            </w:r>
          </w:p>
          <w:p w:rsidR="00312AC7" w:rsidRDefault="00312AC7" w:rsidP="00360361">
            <w:pPr>
              <w:spacing w:after="200" w:line="276" w:lineRule="auto"/>
              <w:rPr>
                <w:sz w:val="36"/>
              </w:rPr>
            </w:pPr>
            <w:r w:rsidRPr="00582F32">
              <w:rPr>
                <w:b/>
                <w:color w:val="0070C0"/>
                <w:sz w:val="36"/>
              </w:rPr>
              <w:t xml:space="preserve">                                        MAYO-2018</w:t>
            </w:r>
          </w:p>
        </w:tc>
      </w:tr>
    </w:tbl>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Pr>
        <w:spacing w:line="0" w:lineRule="atLeast"/>
        <w:rPr>
          <w:rFonts w:ascii="Arial" w:eastAsia="Arial" w:hAnsi="Arial"/>
          <w:b/>
          <w:color w:val="042487"/>
          <w:sz w:val="24"/>
        </w:rPr>
      </w:pPr>
      <w:r>
        <w:rPr>
          <w:rFonts w:ascii="Arial" w:eastAsia="Arial" w:hAnsi="Arial"/>
          <w:b/>
          <w:color w:val="042487"/>
          <w:sz w:val="24"/>
        </w:rPr>
        <w:t>INFORMACIÓN INSTITUCIONAL</w:t>
      </w:r>
    </w:p>
    <w:p w:rsidR="00312AC7" w:rsidRDefault="00312AC7" w:rsidP="00312AC7">
      <w:pPr>
        <w:spacing w:line="0" w:lineRule="atLeast"/>
        <w:ind w:left="280"/>
        <w:rPr>
          <w:rFonts w:ascii="Arial" w:eastAsia="Arial" w:hAnsi="Arial"/>
          <w:b/>
          <w:sz w:val="24"/>
        </w:rPr>
      </w:pPr>
    </w:p>
    <w:p w:rsidR="00312AC7" w:rsidRPr="003E2B7D" w:rsidRDefault="00312AC7" w:rsidP="00312AC7">
      <w:pPr>
        <w:spacing w:line="0" w:lineRule="atLeast"/>
        <w:ind w:left="280"/>
        <w:rPr>
          <w:rFonts w:ascii="Arial" w:eastAsia="Arial" w:hAnsi="Arial"/>
          <w:b/>
          <w:sz w:val="24"/>
        </w:rPr>
      </w:pPr>
      <w:r>
        <w:rPr>
          <w:rFonts w:ascii="Arial" w:eastAsia="Arial" w:hAnsi="Arial"/>
          <w:b/>
          <w:sz w:val="24"/>
        </w:rPr>
        <w:t>ANTECEDENTES:</w:t>
      </w:r>
    </w:p>
    <w:p w:rsidR="00312AC7" w:rsidRPr="003E2B7D" w:rsidRDefault="00312AC7" w:rsidP="00312AC7">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312AC7" w:rsidRDefault="00312AC7" w:rsidP="00312AC7">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312AC7" w:rsidRDefault="00312AC7" w:rsidP="00312AC7">
      <w:pPr>
        <w:spacing w:line="368" w:lineRule="exact"/>
        <w:rPr>
          <w:rFonts w:ascii="Times New Roman" w:eastAsia="Times New Roman" w:hAnsi="Times New Roman"/>
        </w:rPr>
      </w:pPr>
    </w:p>
    <w:p w:rsidR="00312AC7" w:rsidRPr="003E2B7D" w:rsidRDefault="00312AC7" w:rsidP="00312AC7">
      <w:pPr>
        <w:spacing w:line="0" w:lineRule="atLeast"/>
        <w:ind w:left="280"/>
        <w:rPr>
          <w:rFonts w:ascii="Arial" w:eastAsia="Arial" w:hAnsi="Arial"/>
          <w:b/>
          <w:sz w:val="24"/>
        </w:rPr>
      </w:pPr>
      <w:r>
        <w:rPr>
          <w:rFonts w:ascii="Arial" w:eastAsia="Arial" w:hAnsi="Arial"/>
          <w:b/>
          <w:sz w:val="24"/>
        </w:rPr>
        <w:t xml:space="preserve"> MARCO LEGAL:</w:t>
      </w:r>
    </w:p>
    <w:p w:rsidR="00312AC7" w:rsidRPr="003E2B7D" w:rsidRDefault="00312AC7" w:rsidP="00312AC7">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312AC7" w:rsidRPr="003E2B7D" w:rsidRDefault="00312AC7" w:rsidP="00312AC7">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312AC7" w:rsidRDefault="00312AC7" w:rsidP="00312AC7">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367" w:lineRule="exact"/>
        <w:rPr>
          <w:rFonts w:ascii="Times New Roman" w:eastAsia="Times New Roman" w:hAnsi="Times New Roman"/>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Pr="003E2B7D" w:rsidRDefault="00312AC7" w:rsidP="00312AC7">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312AC7" w:rsidRDefault="00312AC7" w:rsidP="00312AC7">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312AC7" w:rsidRDefault="00312AC7" w:rsidP="00312AC7">
      <w:pPr>
        <w:spacing w:line="251" w:lineRule="auto"/>
        <w:jc w:val="both"/>
        <w:rPr>
          <w:rFonts w:ascii="Arial" w:eastAsia="Arial" w:hAnsi="Arial"/>
          <w:sz w:val="24"/>
        </w:rPr>
      </w:pPr>
    </w:p>
    <w:p w:rsidR="00312AC7" w:rsidRPr="003E2B7D" w:rsidRDefault="00312AC7" w:rsidP="00312AC7">
      <w:pPr>
        <w:spacing w:line="251" w:lineRule="auto"/>
        <w:jc w:val="both"/>
        <w:rPr>
          <w:rFonts w:ascii="Arial" w:eastAsia="Arial" w:hAnsi="Arial"/>
          <w:sz w:val="24"/>
        </w:rPr>
      </w:pPr>
    </w:p>
    <w:p w:rsidR="00312AC7" w:rsidRPr="003E2B7D" w:rsidRDefault="00312AC7" w:rsidP="00312AC7">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312AC7" w:rsidRPr="003E2B7D" w:rsidRDefault="00312AC7" w:rsidP="00312AC7">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jc w:val="center"/>
        <w:rPr>
          <w:rFonts w:ascii="Arial" w:eastAsia="Arial" w:hAnsi="Arial"/>
          <w:color w:val="002060"/>
          <w:sz w:val="24"/>
          <w:u w:val="single"/>
        </w:rPr>
      </w:pPr>
    </w:p>
    <w:p w:rsidR="00312AC7" w:rsidRDefault="00312AC7" w:rsidP="00312AC7">
      <w:pPr>
        <w:spacing w:line="0" w:lineRule="atLeast"/>
        <w:rPr>
          <w:rFonts w:ascii="Arial" w:eastAsia="Arial" w:hAnsi="Arial"/>
          <w:color w:val="002060"/>
          <w:sz w:val="24"/>
          <w:u w:val="single"/>
        </w:rPr>
      </w:pPr>
    </w:p>
    <w:p w:rsidR="00312AC7" w:rsidRDefault="00312AC7" w:rsidP="00312AC7">
      <w:pPr>
        <w:spacing w:line="0" w:lineRule="atLeast"/>
        <w:rPr>
          <w:rFonts w:ascii="Arial" w:eastAsia="Arial" w:hAnsi="Arial"/>
          <w:color w:val="002060"/>
          <w:sz w:val="24"/>
          <w:u w:val="single"/>
        </w:rPr>
      </w:pPr>
    </w:p>
    <w:p w:rsidR="00312AC7" w:rsidRPr="00AD10BE" w:rsidRDefault="00312AC7" w:rsidP="00312AC7">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312AC7" w:rsidRDefault="00312AC7" w:rsidP="00312AC7">
      <w:pPr>
        <w:jc w:val="center"/>
        <w:rPr>
          <w:rFonts w:eastAsia="Times New Roman" w:cstheme="minorHAnsi"/>
          <w:b/>
          <w:sz w:val="24"/>
          <w:szCs w:val="24"/>
        </w:rPr>
      </w:pPr>
    </w:p>
    <w:p w:rsidR="00312AC7" w:rsidRPr="00AD10BE" w:rsidRDefault="00312AC7" w:rsidP="00312AC7">
      <w:pPr>
        <w:jc w:val="center"/>
        <w:rPr>
          <w:rFonts w:eastAsia="Times New Roman" w:cstheme="minorHAnsi"/>
          <w:b/>
          <w:sz w:val="24"/>
          <w:szCs w:val="24"/>
        </w:rPr>
      </w:pPr>
    </w:p>
    <w:p w:rsidR="00312AC7" w:rsidRPr="00AD10BE" w:rsidRDefault="00312AC7" w:rsidP="00312AC7">
      <w:pPr>
        <w:jc w:val="center"/>
        <w:rPr>
          <w:rFonts w:eastAsia="Times New Roman" w:cstheme="minorHAnsi"/>
          <w:b/>
          <w:sz w:val="24"/>
          <w:szCs w:val="24"/>
        </w:rPr>
      </w:pPr>
      <w:r w:rsidRPr="00AD10BE">
        <w:rPr>
          <w:rFonts w:eastAsia="Times New Roman" w:cstheme="minorHAnsi"/>
          <w:b/>
          <w:sz w:val="24"/>
          <w:szCs w:val="24"/>
        </w:rPr>
        <w:t>Vocación de Servicios</w:t>
      </w:r>
    </w:p>
    <w:p w:rsidR="00312AC7" w:rsidRPr="00AD10BE" w:rsidRDefault="00312AC7" w:rsidP="00312AC7">
      <w:pPr>
        <w:jc w:val="center"/>
        <w:rPr>
          <w:rFonts w:eastAsia="Times New Roman" w:cstheme="minorHAnsi"/>
          <w:b/>
          <w:sz w:val="24"/>
          <w:szCs w:val="24"/>
        </w:rPr>
      </w:pPr>
    </w:p>
    <w:p w:rsidR="00312AC7" w:rsidRPr="00AD10BE" w:rsidRDefault="00312AC7" w:rsidP="00312AC7">
      <w:pPr>
        <w:jc w:val="center"/>
        <w:rPr>
          <w:rFonts w:cstheme="minorHAnsi"/>
          <w:b/>
          <w:sz w:val="24"/>
          <w:szCs w:val="24"/>
        </w:rPr>
      </w:pPr>
      <w:r w:rsidRPr="00AD10BE">
        <w:rPr>
          <w:rFonts w:cstheme="minorHAnsi"/>
          <w:b/>
          <w:sz w:val="24"/>
          <w:szCs w:val="24"/>
        </w:rPr>
        <w:t>Responsabilidad</w:t>
      </w:r>
    </w:p>
    <w:p w:rsidR="00312AC7" w:rsidRPr="00AD10BE" w:rsidRDefault="00312AC7" w:rsidP="00312AC7">
      <w:pPr>
        <w:jc w:val="center"/>
        <w:rPr>
          <w:rFonts w:cstheme="minorHAnsi"/>
          <w:b/>
          <w:sz w:val="24"/>
          <w:szCs w:val="24"/>
        </w:rPr>
      </w:pPr>
    </w:p>
    <w:p w:rsidR="00312AC7" w:rsidRPr="00AD10BE" w:rsidRDefault="00312AC7" w:rsidP="00312AC7">
      <w:pPr>
        <w:jc w:val="center"/>
        <w:rPr>
          <w:rFonts w:cstheme="minorHAnsi"/>
          <w:b/>
          <w:sz w:val="24"/>
          <w:szCs w:val="24"/>
        </w:rPr>
      </w:pPr>
      <w:r w:rsidRPr="00AD10BE">
        <w:rPr>
          <w:rFonts w:cstheme="minorHAnsi"/>
          <w:b/>
          <w:sz w:val="24"/>
          <w:szCs w:val="24"/>
        </w:rPr>
        <w:t>Transparencia</w:t>
      </w:r>
    </w:p>
    <w:p w:rsidR="00312AC7" w:rsidRPr="00AD10BE" w:rsidRDefault="00312AC7" w:rsidP="00312AC7">
      <w:pPr>
        <w:jc w:val="center"/>
        <w:rPr>
          <w:rFonts w:cstheme="minorHAnsi"/>
          <w:b/>
          <w:sz w:val="24"/>
          <w:szCs w:val="24"/>
        </w:rPr>
      </w:pPr>
    </w:p>
    <w:p w:rsidR="00312AC7" w:rsidRPr="00AD10BE" w:rsidRDefault="00312AC7" w:rsidP="00312AC7">
      <w:pPr>
        <w:jc w:val="center"/>
        <w:rPr>
          <w:rFonts w:cstheme="minorHAnsi"/>
          <w:b/>
          <w:sz w:val="24"/>
          <w:szCs w:val="24"/>
        </w:rPr>
      </w:pPr>
      <w:r w:rsidRPr="00AD10BE">
        <w:rPr>
          <w:rFonts w:cstheme="minorHAnsi"/>
          <w:b/>
          <w:sz w:val="24"/>
          <w:szCs w:val="24"/>
        </w:rPr>
        <w:t>Trabajo en Equipo</w:t>
      </w:r>
    </w:p>
    <w:p w:rsidR="00312AC7" w:rsidRPr="00AD10BE" w:rsidRDefault="00312AC7" w:rsidP="00312AC7">
      <w:pPr>
        <w:jc w:val="center"/>
        <w:rPr>
          <w:rFonts w:cstheme="minorHAnsi"/>
          <w:b/>
          <w:sz w:val="24"/>
          <w:szCs w:val="24"/>
        </w:rPr>
      </w:pPr>
    </w:p>
    <w:p w:rsidR="00312AC7" w:rsidRPr="00AD10BE" w:rsidRDefault="00312AC7" w:rsidP="00312AC7">
      <w:pPr>
        <w:jc w:val="center"/>
        <w:rPr>
          <w:rFonts w:cstheme="minorHAnsi"/>
          <w:b/>
          <w:sz w:val="24"/>
          <w:szCs w:val="24"/>
        </w:rPr>
      </w:pPr>
      <w:r w:rsidRPr="00AD10BE">
        <w:rPr>
          <w:rFonts w:cstheme="minorHAnsi"/>
          <w:b/>
          <w:sz w:val="24"/>
          <w:szCs w:val="24"/>
        </w:rPr>
        <w:t>Sensibilidad  Social</w:t>
      </w:r>
    </w:p>
    <w:p w:rsidR="00312AC7" w:rsidRPr="00AD10BE" w:rsidRDefault="00312AC7" w:rsidP="00312AC7">
      <w:pPr>
        <w:jc w:val="center"/>
        <w:rPr>
          <w:rFonts w:eastAsia="Times New Roman" w:cstheme="minorHAnsi"/>
          <w:sz w:val="24"/>
          <w:szCs w:val="24"/>
        </w:rPr>
        <w:sectPr w:rsidR="00312AC7" w:rsidRPr="00AD10BE" w:rsidSect="003E2B7D">
          <w:headerReference w:type="default" r:id="rId9"/>
          <w:pgSz w:w="12240" w:h="15840"/>
          <w:pgMar w:top="1276" w:right="720" w:bottom="0" w:left="720" w:header="0" w:footer="0" w:gutter="0"/>
          <w:cols w:space="0" w:equalWidth="0">
            <w:col w:w="10800"/>
          </w:cols>
          <w:docGrid w:linePitch="360"/>
        </w:sectPr>
      </w:pPr>
    </w:p>
    <w:p w:rsidR="00312AC7" w:rsidRDefault="00312AC7" w:rsidP="00312AC7">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312AC7" w:rsidRDefault="00312AC7" w:rsidP="00312AC7">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Previa,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Elías Piña, Santiago de los Caballeros, Da jabón, Monte Cristi, Puerto Plata, Valverde Mao, Espaillat, Duarte, María Trinidad Sánchez, Monte Plata, San Pedro de Macorís,  el Seibó, La Altagracia, Independencia, Pedernales, Samaná y Boca Chica.</w:t>
      </w:r>
    </w:p>
    <w:p w:rsidR="00312AC7" w:rsidRDefault="00312AC7" w:rsidP="00312AC7">
      <w:pPr>
        <w:spacing w:line="200" w:lineRule="exact"/>
        <w:rPr>
          <w:rFonts w:ascii="Times New Roman" w:eastAsia="Times New Roman" w:hAnsi="Times New Roman"/>
        </w:rPr>
      </w:pPr>
    </w:p>
    <w:p w:rsidR="00312AC7" w:rsidRDefault="00312AC7" w:rsidP="00312AC7">
      <w:pPr>
        <w:spacing w:line="200" w:lineRule="exact"/>
        <w:rPr>
          <w:rFonts w:ascii="Times New Roman" w:eastAsia="Times New Roman" w:hAnsi="Times New Roman"/>
        </w:rPr>
      </w:pPr>
    </w:p>
    <w:p w:rsidR="00312AC7" w:rsidRDefault="00312AC7" w:rsidP="00312AC7">
      <w:pPr>
        <w:spacing w:line="200" w:lineRule="exact"/>
        <w:rPr>
          <w:rFonts w:ascii="Times New Roman" w:eastAsia="Times New Roman" w:hAnsi="Times New Roman"/>
        </w:rPr>
      </w:pPr>
    </w:p>
    <w:p w:rsidR="00312AC7" w:rsidRDefault="00312AC7" w:rsidP="00312AC7">
      <w:pPr>
        <w:spacing w:line="200" w:lineRule="exact"/>
        <w:rPr>
          <w:rFonts w:ascii="Times New Roman" w:eastAsia="Times New Roman" w:hAnsi="Times New Roman"/>
        </w:rPr>
      </w:pPr>
    </w:p>
    <w:p w:rsidR="00312AC7" w:rsidRDefault="00312AC7" w:rsidP="00312AC7">
      <w:r>
        <w:rPr>
          <w:noProof/>
          <w:lang w:eastAsia="es-DO"/>
        </w:rPr>
        <w:drawing>
          <wp:inline distT="0" distB="0" distL="0" distR="0" wp14:anchorId="17C4083D" wp14:editId="567CBF56">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Default="00312AC7" w:rsidP="00312AC7"/>
    <w:p w:rsidR="00312AC7" w:rsidRPr="000F104E" w:rsidRDefault="00312AC7" w:rsidP="00312AC7">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ucción General del PASP (</w:t>
      </w:r>
      <w:r w:rsidR="00CD131F">
        <w:rPr>
          <w:b/>
          <w:color w:val="548DD4" w:themeColor="text2" w:themeTint="99"/>
          <w:sz w:val="28"/>
          <w:szCs w:val="28"/>
        </w:rPr>
        <w:t>MAYO</w:t>
      </w:r>
      <w:r w:rsidRPr="000F104E">
        <w:rPr>
          <w:b/>
          <w:color w:val="548DD4" w:themeColor="text2" w:themeTint="99"/>
          <w:sz w:val="28"/>
          <w:szCs w:val="28"/>
        </w:rPr>
        <w:t>-2018)</w:t>
      </w:r>
    </w:p>
    <w:p w:rsidR="00312AC7" w:rsidRPr="000F104E" w:rsidRDefault="00312AC7" w:rsidP="00312AC7">
      <w:pPr>
        <w:pStyle w:val="Prrafodelista"/>
        <w:ind w:left="2487"/>
        <w:jc w:val="both"/>
        <w:rPr>
          <w:b/>
          <w:color w:val="548DD4" w:themeColor="text2" w:themeTint="99"/>
          <w:sz w:val="28"/>
          <w:szCs w:val="28"/>
        </w:rPr>
      </w:pPr>
    </w:p>
    <w:p w:rsidR="00312AC7" w:rsidRPr="000067B3" w:rsidRDefault="00312AC7" w:rsidP="00312AC7">
      <w:pPr>
        <w:rPr>
          <w:color w:val="0070C0"/>
        </w:rPr>
      </w:pPr>
      <w:r w:rsidRPr="000067B3">
        <w:rPr>
          <w:color w:val="0070C0"/>
        </w:rPr>
        <w:t xml:space="preserve">Raciones Alimenticias y ayudas </w:t>
      </w:r>
      <w:proofErr w:type="gramStart"/>
      <w:r w:rsidRPr="000067B3">
        <w:rPr>
          <w:color w:val="0070C0"/>
        </w:rPr>
        <w:t>sociales(</w:t>
      </w:r>
      <w:proofErr w:type="gramEnd"/>
      <w:r w:rsidRPr="000067B3">
        <w:rPr>
          <w:color w:val="0070C0"/>
        </w:rPr>
        <w:t>graf.1)</w:t>
      </w:r>
    </w:p>
    <w:p w:rsidR="00982536" w:rsidRDefault="007E49C8" w:rsidP="00312AC7">
      <w:pPr>
        <w:rPr>
          <w:noProof/>
          <w:lang w:eastAsia="es-DO"/>
        </w:rPr>
      </w:pPr>
      <w:r>
        <w:rPr>
          <w:noProof/>
          <w:lang w:eastAsia="es-DO"/>
        </w:rPr>
        <w:drawing>
          <wp:inline distT="0" distB="0" distL="0" distR="0">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2AC7" w:rsidRDefault="002F2421" w:rsidP="00312AC7">
      <w:r>
        <w:t xml:space="preserve">En una población </w:t>
      </w:r>
      <w:r w:rsidR="00C40290">
        <w:t>asistida de 288712. El 99% de los recursos</w:t>
      </w:r>
      <w:r w:rsidR="0060100F">
        <w:t xml:space="preserve"> fue </w:t>
      </w:r>
      <w:proofErr w:type="gramStart"/>
      <w:r w:rsidR="0060100F">
        <w:t>destinada</w:t>
      </w:r>
      <w:proofErr w:type="gramEnd"/>
      <w:r w:rsidR="0060100F">
        <w:t xml:space="preserve">  a la entrega de raciones </w:t>
      </w:r>
      <w:r w:rsidR="00D400E6">
        <w:t>alimenticias, el</w:t>
      </w:r>
      <w:r w:rsidR="004B4486">
        <w:t xml:space="preserve"> 1</w:t>
      </w:r>
      <w:r w:rsidR="00D400E6">
        <w:t xml:space="preserve">%restante se </w:t>
      </w:r>
      <w:proofErr w:type="spellStart"/>
      <w:r w:rsidR="00D400E6">
        <w:t>destino</w:t>
      </w:r>
      <w:proofErr w:type="spellEnd"/>
      <w:r w:rsidR="00D400E6">
        <w:t xml:space="preserve">  a electrodoméstico y enseres del hogar.</w:t>
      </w:r>
    </w:p>
    <w:tbl>
      <w:tblPr>
        <w:tblW w:w="5960" w:type="dxa"/>
        <w:tblInd w:w="55" w:type="dxa"/>
        <w:tblCellMar>
          <w:left w:w="70" w:type="dxa"/>
          <w:right w:w="70" w:type="dxa"/>
        </w:tblCellMar>
        <w:tblLook w:val="04A0" w:firstRow="1" w:lastRow="0" w:firstColumn="1" w:lastColumn="0" w:noHBand="0" w:noVBand="1"/>
      </w:tblPr>
      <w:tblGrid>
        <w:gridCol w:w="3560"/>
        <w:gridCol w:w="1200"/>
        <w:gridCol w:w="1200"/>
      </w:tblGrid>
      <w:tr w:rsidR="00312AC7" w:rsidRPr="00C05EDA" w:rsidTr="00360361">
        <w:trPr>
          <w:trHeight w:val="300"/>
        </w:trPr>
        <w:tc>
          <w:tcPr>
            <w:tcW w:w="3560" w:type="dxa"/>
            <w:tcBorders>
              <w:top w:val="nil"/>
              <w:left w:val="nil"/>
              <w:bottom w:val="nil"/>
              <w:right w:val="nil"/>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000000"/>
                <w:lang w:eastAsia="es-DO"/>
              </w:rPr>
            </w:pPr>
          </w:p>
        </w:tc>
        <w:tc>
          <w:tcPr>
            <w:tcW w:w="1200" w:type="dxa"/>
            <w:tcBorders>
              <w:top w:val="nil"/>
              <w:left w:val="nil"/>
              <w:bottom w:val="nil"/>
              <w:right w:val="nil"/>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000000"/>
                <w:lang w:eastAsia="es-DO"/>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2AC7" w:rsidRPr="00C05EDA" w:rsidRDefault="00312AC7" w:rsidP="00360361">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 xml:space="preserve">PERSONAS  </w:t>
            </w:r>
          </w:p>
        </w:tc>
      </w:tr>
      <w:tr w:rsidR="00312AC7" w:rsidRPr="00C05EDA" w:rsidTr="00360361">
        <w:trPr>
          <w:trHeight w:val="360"/>
        </w:trPr>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b/>
                <w:bCs/>
                <w:color w:val="548DD4" w:themeColor="text2" w:themeTint="99"/>
                <w:sz w:val="32"/>
                <w:szCs w:val="32"/>
                <w:lang w:eastAsia="es-DO"/>
              </w:rPr>
            </w:pPr>
            <w:r w:rsidRPr="00C05EDA">
              <w:rPr>
                <w:rFonts w:ascii="Calibri" w:eastAsia="Times New Roman" w:hAnsi="Calibri" w:cs="Calibri"/>
                <w:b/>
                <w:bCs/>
                <w:color w:val="548DD4" w:themeColor="text2" w:themeTint="99"/>
                <w:sz w:val="32"/>
                <w:szCs w:val="32"/>
                <w:lang w:eastAsia="es-DO"/>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CANTIDAD</w:t>
            </w:r>
          </w:p>
        </w:tc>
        <w:tc>
          <w:tcPr>
            <w:tcW w:w="1200" w:type="dxa"/>
            <w:tcBorders>
              <w:top w:val="nil"/>
              <w:left w:val="nil"/>
              <w:bottom w:val="single" w:sz="4" w:space="0" w:color="auto"/>
              <w:right w:val="single" w:sz="4" w:space="0" w:color="auto"/>
            </w:tcBorders>
            <w:shd w:val="clear" w:color="auto" w:fill="auto"/>
            <w:vAlign w:val="bottom"/>
            <w:hideMark/>
          </w:tcPr>
          <w:p w:rsidR="00312AC7" w:rsidRPr="00C05EDA" w:rsidRDefault="00312AC7" w:rsidP="00360361">
            <w:pPr>
              <w:spacing w:after="0" w:line="240" w:lineRule="auto"/>
              <w:rPr>
                <w:rFonts w:ascii="Calibri" w:eastAsia="Times New Roman" w:hAnsi="Calibri" w:cs="Calibri"/>
                <w:b/>
                <w:bCs/>
                <w:color w:val="548DD4" w:themeColor="text2" w:themeTint="99"/>
                <w:lang w:eastAsia="es-DO"/>
              </w:rPr>
            </w:pPr>
            <w:r w:rsidRPr="00C05EDA">
              <w:rPr>
                <w:rFonts w:ascii="Calibri" w:eastAsia="Times New Roman" w:hAnsi="Calibri" w:cs="Calibri"/>
                <w:b/>
                <w:bCs/>
                <w:color w:val="548DD4" w:themeColor="text2" w:themeTint="99"/>
                <w:lang w:eastAsia="es-DO"/>
              </w:rPr>
              <w:t xml:space="preserve">PERSONAS ASISTIDAS </w:t>
            </w: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RACIONES ALIMENTICIAS</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C50319"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72060</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C50319"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2882</w:t>
            </w:r>
            <w:r w:rsidR="004A3011">
              <w:rPr>
                <w:rFonts w:ascii="Calibri" w:eastAsia="Times New Roman" w:hAnsi="Calibri" w:cs="Calibri"/>
                <w:color w:val="548DD4" w:themeColor="text2" w:themeTint="99"/>
                <w:lang w:eastAsia="es-DO"/>
              </w:rPr>
              <w:t>40</w:t>
            </w:r>
          </w:p>
        </w:tc>
        <w:bookmarkStart w:id="0" w:name="_GoBack"/>
        <w:bookmarkEnd w:id="0"/>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CANASTILLA PARA ENBARAZA</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MATERIALES DE CONSTRUCCION</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ELECTRODOMESTICO Y ENSERES</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026B42"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300</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026B42"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300</w:t>
            </w: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ROPA DE CAMA</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026B42"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169</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026B42"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169</w:t>
            </w: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AYUDAS EN MEDICAMENTOS</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476ADE"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2</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476ADE"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2</w:t>
            </w: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AYUDAS CASO DE SALUD</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476ADE"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476ADE" w:rsidP="00360361">
            <w:pPr>
              <w:spacing w:after="0" w:line="240" w:lineRule="auto"/>
              <w:jc w:val="center"/>
              <w:rPr>
                <w:rFonts w:ascii="Calibri" w:eastAsia="Times New Roman" w:hAnsi="Calibri" w:cs="Calibri"/>
                <w:color w:val="548DD4" w:themeColor="text2" w:themeTint="99"/>
                <w:lang w:eastAsia="es-DO"/>
              </w:rPr>
            </w:pPr>
            <w:r>
              <w:rPr>
                <w:rFonts w:ascii="Calibri" w:eastAsia="Times New Roman" w:hAnsi="Calibri" w:cs="Calibri"/>
                <w:color w:val="548DD4" w:themeColor="text2" w:themeTint="99"/>
                <w:lang w:eastAsia="es-DO"/>
              </w:rPr>
              <w:t>1</w:t>
            </w: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rPr>
                <w:rFonts w:ascii="Calibri" w:eastAsia="Times New Roman" w:hAnsi="Calibri" w:cs="Calibri"/>
                <w:color w:val="548DD4" w:themeColor="text2" w:themeTint="99"/>
                <w:lang w:eastAsia="es-DO"/>
              </w:rPr>
            </w:pPr>
            <w:r w:rsidRPr="00C05EDA">
              <w:rPr>
                <w:rFonts w:ascii="Calibri" w:eastAsia="Times New Roman" w:hAnsi="Calibri" w:cs="Calibri"/>
                <w:color w:val="548DD4" w:themeColor="text2" w:themeTint="99"/>
                <w:lang w:eastAsia="es-DO"/>
              </w:rPr>
              <w:t>AYUDAS ECONOMICAS</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color w:val="548DD4" w:themeColor="text2" w:themeTint="99"/>
                <w:lang w:eastAsia="es-DO"/>
              </w:rPr>
            </w:pPr>
          </w:p>
        </w:tc>
      </w:tr>
      <w:tr w:rsidR="00312AC7" w:rsidRPr="00C05EDA" w:rsidTr="00894297">
        <w:trPr>
          <w:trHeight w:val="3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312AC7" w:rsidRPr="00C05EDA" w:rsidRDefault="00312AC7" w:rsidP="00360361">
            <w:pPr>
              <w:spacing w:after="0" w:line="240" w:lineRule="auto"/>
              <w:jc w:val="center"/>
              <w:rPr>
                <w:rFonts w:ascii="Calibri" w:eastAsia="Times New Roman" w:hAnsi="Calibri" w:cs="Calibri"/>
                <w:b/>
                <w:bCs/>
                <w:color w:val="548DD4" w:themeColor="text2" w:themeTint="99"/>
                <w:lang w:eastAsia="es-DO"/>
              </w:rPr>
            </w:pPr>
            <w:r>
              <w:rPr>
                <w:rFonts w:ascii="Calibri" w:eastAsia="Times New Roman" w:hAnsi="Calibri" w:cs="Calibri"/>
                <w:b/>
                <w:bCs/>
                <w:color w:val="548DD4" w:themeColor="text2" w:themeTint="99"/>
                <w:lang w:eastAsia="es-DO"/>
              </w:rPr>
              <w:t>ARTICULOS DICAPACIDAD (SILLA……..</w:t>
            </w: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rPr>
                <w:rFonts w:ascii="Calibri" w:eastAsia="Times New Roman" w:hAnsi="Calibri" w:cs="Calibri"/>
                <w:b/>
                <w:bCs/>
                <w:color w:val="548DD4" w:themeColor="text2" w:themeTint="99"/>
                <w:lang w:eastAsia="es-DO"/>
              </w:rPr>
            </w:pPr>
          </w:p>
        </w:tc>
        <w:tc>
          <w:tcPr>
            <w:tcW w:w="1200" w:type="dxa"/>
            <w:tcBorders>
              <w:top w:val="nil"/>
              <w:left w:val="nil"/>
              <w:bottom w:val="single" w:sz="4" w:space="0" w:color="auto"/>
              <w:right w:val="single" w:sz="4" w:space="0" w:color="auto"/>
            </w:tcBorders>
            <w:shd w:val="clear" w:color="auto" w:fill="auto"/>
            <w:noWrap/>
            <w:vAlign w:val="bottom"/>
          </w:tcPr>
          <w:p w:rsidR="00312AC7" w:rsidRPr="00C05EDA" w:rsidRDefault="00312AC7" w:rsidP="00360361">
            <w:pPr>
              <w:spacing w:after="0" w:line="240" w:lineRule="auto"/>
              <w:jc w:val="center"/>
              <w:rPr>
                <w:rFonts w:ascii="Calibri" w:eastAsia="Times New Roman" w:hAnsi="Calibri" w:cs="Calibri"/>
                <w:b/>
                <w:bCs/>
                <w:color w:val="548DD4" w:themeColor="text2" w:themeTint="99"/>
                <w:lang w:eastAsia="es-DO"/>
              </w:rPr>
            </w:pPr>
          </w:p>
        </w:tc>
      </w:tr>
    </w:tbl>
    <w:p w:rsidR="00D36D41" w:rsidRDefault="00312AC7" w:rsidP="00312AC7">
      <w:pPr>
        <w:rPr>
          <w:color w:val="8DB3E2" w:themeColor="text2" w:themeTint="66"/>
          <w:sz w:val="36"/>
          <w:szCs w:val="36"/>
        </w:rPr>
      </w:pPr>
      <w:r>
        <w:t xml:space="preserve">TOTAL PERSONAS </w:t>
      </w:r>
      <w:r w:rsidRPr="00894297">
        <w:rPr>
          <w:highlight w:val="yellow"/>
        </w:rPr>
        <w:t>ASISTIDAS</w:t>
      </w:r>
      <w:r w:rsidR="00347E78">
        <w:rPr>
          <w:highlight w:val="yellow"/>
        </w:rPr>
        <w:t xml:space="preserve">                                                  </w:t>
      </w:r>
      <w:r w:rsidR="00951E6E">
        <w:rPr>
          <w:highlight w:val="yellow"/>
        </w:rPr>
        <w:t>288712</w:t>
      </w:r>
      <w:r w:rsidRPr="00894297">
        <w:rPr>
          <w:highlight w:val="yellow"/>
        </w:rPr>
        <w:t xml:space="preserve">                                                </w:t>
      </w:r>
    </w:p>
    <w:p w:rsidR="00D400E6" w:rsidRDefault="00D400E6" w:rsidP="00312AC7">
      <w:pPr>
        <w:rPr>
          <w:color w:val="0070C0"/>
          <w:sz w:val="36"/>
          <w:szCs w:val="36"/>
        </w:rPr>
      </w:pPr>
    </w:p>
    <w:p w:rsidR="00312AC7" w:rsidRPr="00090AE2" w:rsidRDefault="00312AC7" w:rsidP="00312AC7">
      <w:pPr>
        <w:rPr>
          <w:color w:val="0070C0"/>
          <w:sz w:val="36"/>
          <w:szCs w:val="36"/>
        </w:rPr>
      </w:pPr>
      <w:r w:rsidRPr="00090AE2">
        <w:rPr>
          <w:color w:val="0070C0"/>
          <w:sz w:val="36"/>
          <w:szCs w:val="36"/>
        </w:rPr>
        <w:lastRenderedPageBreak/>
        <w:t>Servicios de Atención de Salud Comunitaria</w:t>
      </w:r>
      <w:r w:rsidR="00B7771C" w:rsidRPr="00090AE2">
        <w:rPr>
          <w:color w:val="0070C0"/>
          <w:sz w:val="36"/>
          <w:szCs w:val="36"/>
        </w:rPr>
        <w:t xml:space="preserve"> MAYO</w:t>
      </w:r>
    </w:p>
    <w:tbl>
      <w:tblPr>
        <w:tblW w:w="8854" w:type="dxa"/>
        <w:tblCellMar>
          <w:left w:w="70" w:type="dxa"/>
          <w:right w:w="70" w:type="dxa"/>
        </w:tblCellMar>
        <w:tblLook w:val="04A0" w:firstRow="1" w:lastRow="0" w:firstColumn="1" w:lastColumn="0" w:noHBand="0" w:noVBand="1"/>
      </w:tblPr>
      <w:tblGrid>
        <w:gridCol w:w="6400"/>
        <w:gridCol w:w="1167"/>
        <w:gridCol w:w="1287"/>
      </w:tblGrid>
      <w:tr w:rsidR="00090AE2" w:rsidRPr="00090AE2" w:rsidTr="00601E70">
        <w:trPr>
          <w:trHeight w:val="300"/>
        </w:trPr>
        <w:tc>
          <w:tcPr>
            <w:tcW w:w="64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DESCRIPCION</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rsidR="00312AC7" w:rsidRPr="00090AE2" w:rsidRDefault="00A47CF1" w:rsidP="00360361">
            <w:pPr>
              <w:spacing w:after="0" w:line="240" w:lineRule="auto"/>
              <w:jc w:val="center"/>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MAYO</w:t>
            </w:r>
          </w:p>
        </w:tc>
        <w:tc>
          <w:tcPr>
            <w:tcW w:w="1287" w:type="dxa"/>
            <w:tcBorders>
              <w:top w:val="single" w:sz="4" w:space="0" w:color="auto"/>
              <w:left w:val="nil"/>
              <w:bottom w:val="single" w:sz="4" w:space="0" w:color="auto"/>
              <w:right w:val="single" w:sz="4" w:space="0" w:color="auto"/>
            </w:tcBorders>
            <w:shd w:val="clear" w:color="000000" w:fill="FFFF00"/>
            <w:noWrap/>
            <w:vAlign w:val="bottom"/>
            <w:hideMark/>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Porcentaje%</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MEDICINA GENERAL</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B7354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1723</w:t>
            </w:r>
          </w:p>
        </w:tc>
        <w:tc>
          <w:tcPr>
            <w:tcW w:w="1287" w:type="dxa"/>
            <w:tcBorders>
              <w:top w:val="single" w:sz="4" w:space="0" w:color="auto"/>
              <w:left w:val="nil"/>
              <w:bottom w:val="single" w:sz="4" w:space="0" w:color="auto"/>
              <w:right w:val="single" w:sz="4" w:space="0" w:color="auto"/>
            </w:tcBorders>
            <w:shd w:val="clear" w:color="000000" w:fill="FFFF00"/>
            <w:noWrap/>
            <w:vAlign w:val="bottom"/>
          </w:tcPr>
          <w:p w:rsidR="00312AC7" w:rsidRPr="00090AE2" w:rsidRDefault="000F6A78"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28%</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EMERGENCIA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B7354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122</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4513EA"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2%</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GINECOLOGIA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B7354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634</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4513EA"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10%</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PEDIATRIA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2443C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869</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5C3D3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14%</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CARDIOLOGIA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4A6321"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148</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5C3D3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2%</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GASTROENTEROLOGIA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4A6321"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62</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5C3D3E"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NEUROLOGIA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4A6321"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78</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997CB2"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NEUMOLOGIA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EF295D"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90</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8E6CE4"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ENDOCRINOLOGIA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312AC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OTORRINOLARINGOLOGIA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312AC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FISIATRIA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EF295D"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1245</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E57F4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20%</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PSICOLOGIA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EF295D"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70</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E57F47"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312AC7" w:rsidRPr="00090AE2" w:rsidRDefault="00312AC7" w:rsidP="00360361">
            <w:pPr>
              <w:spacing w:after="0" w:line="240" w:lineRule="auto"/>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CANTIDAD DE PACIENTES ATENTIDOS EN ODONTOLOGIA</w:t>
            </w:r>
          </w:p>
        </w:tc>
        <w:tc>
          <w:tcPr>
            <w:tcW w:w="1167" w:type="dxa"/>
            <w:tcBorders>
              <w:top w:val="nil"/>
              <w:left w:val="nil"/>
              <w:bottom w:val="single" w:sz="4" w:space="0" w:color="auto"/>
              <w:right w:val="single" w:sz="4" w:space="0" w:color="auto"/>
            </w:tcBorders>
            <w:shd w:val="clear" w:color="000000" w:fill="FFFF99"/>
            <w:noWrap/>
            <w:vAlign w:val="bottom"/>
          </w:tcPr>
          <w:p w:rsidR="00312AC7" w:rsidRPr="00090AE2" w:rsidRDefault="004610ED"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1040</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215C5A" w:rsidP="00360361">
            <w:pPr>
              <w:spacing w:after="0" w:line="240" w:lineRule="auto"/>
              <w:jc w:val="center"/>
              <w:rPr>
                <w:rFonts w:ascii="Calibri" w:eastAsia="Times New Roman" w:hAnsi="Calibri" w:cs="Times New Roman"/>
                <w:color w:val="0070C0"/>
                <w:lang w:eastAsia="es-DO"/>
              </w:rPr>
            </w:pPr>
            <w:r w:rsidRPr="00090AE2">
              <w:rPr>
                <w:rFonts w:ascii="Calibri" w:eastAsia="Times New Roman" w:hAnsi="Calibri" w:cs="Times New Roman"/>
                <w:color w:val="0070C0"/>
                <w:lang w:eastAsia="es-DO"/>
              </w:rPr>
              <w:t>17%</w:t>
            </w: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312AC7" w:rsidRPr="00090AE2" w:rsidRDefault="00312AC7" w:rsidP="00360361">
            <w:pPr>
              <w:spacing w:after="0" w:line="240" w:lineRule="auto"/>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TOTAL DE PACIENTES  ATENDIDO EN OPERATIVOS MEDICOS</w:t>
            </w:r>
          </w:p>
        </w:tc>
        <w:tc>
          <w:tcPr>
            <w:tcW w:w="1167" w:type="dxa"/>
            <w:tcBorders>
              <w:top w:val="nil"/>
              <w:left w:val="nil"/>
              <w:bottom w:val="single" w:sz="4" w:space="0" w:color="auto"/>
              <w:right w:val="single" w:sz="4" w:space="0" w:color="auto"/>
            </w:tcBorders>
            <w:shd w:val="clear" w:color="000000" w:fill="FFFF00"/>
            <w:noWrap/>
            <w:vAlign w:val="bottom"/>
          </w:tcPr>
          <w:p w:rsidR="00312AC7" w:rsidRPr="00090AE2" w:rsidRDefault="004610ED" w:rsidP="00360361">
            <w:pPr>
              <w:spacing w:after="0" w:line="240" w:lineRule="auto"/>
              <w:jc w:val="center"/>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312AC7" w:rsidRPr="00090AE2" w:rsidRDefault="00312AC7" w:rsidP="00360361">
            <w:pPr>
              <w:spacing w:after="0" w:line="240" w:lineRule="auto"/>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TOTAL DE  PACIENTES  CONSULTADOS</w:t>
            </w:r>
          </w:p>
        </w:tc>
        <w:tc>
          <w:tcPr>
            <w:tcW w:w="1167" w:type="dxa"/>
            <w:tcBorders>
              <w:top w:val="nil"/>
              <w:left w:val="nil"/>
              <w:bottom w:val="single" w:sz="4" w:space="0" w:color="auto"/>
              <w:right w:val="single" w:sz="4" w:space="0" w:color="auto"/>
            </w:tcBorders>
            <w:shd w:val="clear" w:color="000000" w:fill="FFFF00"/>
            <w:noWrap/>
            <w:vAlign w:val="bottom"/>
          </w:tcPr>
          <w:p w:rsidR="00312AC7" w:rsidRPr="00090AE2" w:rsidRDefault="00905C2C" w:rsidP="00360361">
            <w:pPr>
              <w:spacing w:after="0" w:line="240" w:lineRule="auto"/>
              <w:jc w:val="center"/>
              <w:rPr>
                <w:rFonts w:ascii="Calibri" w:eastAsia="Times New Roman" w:hAnsi="Calibri" w:cs="Times New Roman"/>
                <w:b/>
                <w:bCs/>
                <w:color w:val="0070C0"/>
                <w:lang w:eastAsia="es-DO"/>
              </w:rPr>
            </w:pPr>
            <w:r w:rsidRPr="00090AE2">
              <w:rPr>
                <w:rFonts w:ascii="Calibri" w:eastAsia="Times New Roman" w:hAnsi="Calibri" w:cs="Times New Roman"/>
                <w:b/>
                <w:bCs/>
                <w:color w:val="0070C0"/>
                <w:lang w:eastAsia="es-DO"/>
              </w:rPr>
              <w:t>6081</w:t>
            </w: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p>
        </w:tc>
      </w:tr>
      <w:tr w:rsidR="00090AE2" w:rsidRPr="00090AE2" w:rsidTr="00601E70">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312AC7" w:rsidRPr="00090AE2" w:rsidRDefault="00312AC7" w:rsidP="00360361">
            <w:pPr>
              <w:spacing w:after="0" w:line="240" w:lineRule="auto"/>
              <w:rPr>
                <w:rFonts w:ascii="Calibri" w:eastAsia="Times New Roman" w:hAnsi="Calibri" w:cs="Times New Roman"/>
                <w:b/>
                <w:bCs/>
                <w:color w:val="0070C0"/>
                <w:lang w:eastAsia="es-DO"/>
              </w:rPr>
            </w:pPr>
          </w:p>
        </w:tc>
        <w:tc>
          <w:tcPr>
            <w:tcW w:w="116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p>
        </w:tc>
        <w:tc>
          <w:tcPr>
            <w:tcW w:w="1287" w:type="dxa"/>
            <w:tcBorders>
              <w:top w:val="nil"/>
              <w:left w:val="nil"/>
              <w:bottom w:val="single" w:sz="4" w:space="0" w:color="auto"/>
              <w:right w:val="single" w:sz="4" w:space="0" w:color="auto"/>
            </w:tcBorders>
            <w:shd w:val="clear" w:color="000000" w:fill="FFFF00"/>
            <w:noWrap/>
            <w:vAlign w:val="bottom"/>
          </w:tcPr>
          <w:p w:rsidR="00312AC7" w:rsidRPr="00090AE2" w:rsidRDefault="00312AC7" w:rsidP="00360361">
            <w:pPr>
              <w:spacing w:after="0" w:line="240" w:lineRule="auto"/>
              <w:jc w:val="center"/>
              <w:rPr>
                <w:rFonts w:ascii="Calibri" w:eastAsia="Times New Roman" w:hAnsi="Calibri" w:cs="Times New Roman"/>
                <w:b/>
                <w:bCs/>
                <w:color w:val="0070C0"/>
                <w:lang w:eastAsia="es-DO"/>
              </w:rPr>
            </w:pPr>
          </w:p>
        </w:tc>
      </w:tr>
    </w:tbl>
    <w:p w:rsidR="00312AC7" w:rsidRDefault="00FC1A0D" w:rsidP="00312AC7">
      <w:r>
        <w:rPr>
          <w:noProof/>
          <w:lang w:eastAsia="es-DO"/>
        </w:rPr>
        <w:drawing>
          <wp:inline distT="0" distB="0" distL="0" distR="0" wp14:anchorId="611C64CF" wp14:editId="19544673">
            <wp:extent cx="5753819" cy="3174521"/>
            <wp:effectExtent l="0" t="0" r="18415" b="2603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782D" w:rsidRPr="006D4594" w:rsidRDefault="00FC782D" w:rsidP="00FC782D">
      <w:pPr>
        <w:rPr>
          <w:color w:val="8DB3E2" w:themeColor="text2" w:themeTint="66"/>
        </w:rPr>
      </w:pPr>
      <w:r w:rsidRPr="00770F10">
        <w:rPr>
          <w:color w:val="000000" w:themeColor="text1"/>
        </w:rPr>
        <w:t>La cantidad de pacientes que asistieron a consul</w:t>
      </w:r>
      <w:r w:rsidR="007E6DC9" w:rsidRPr="00770F10">
        <w:rPr>
          <w:color w:val="000000" w:themeColor="text1"/>
        </w:rPr>
        <w:t>ta en el mes MAYO</w:t>
      </w:r>
      <w:r w:rsidRPr="00770F10">
        <w:rPr>
          <w:color w:val="000000" w:themeColor="text1"/>
        </w:rPr>
        <w:t>-2018</w:t>
      </w:r>
      <w:proofErr w:type="gramStart"/>
      <w:r w:rsidRPr="00770F10">
        <w:rPr>
          <w:color w:val="000000" w:themeColor="text1"/>
        </w:rPr>
        <w:t>,l</w:t>
      </w:r>
      <w:proofErr w:type="gramEnd"/>
      <w:r w:rsidRPr="00770F10">
        <w:rPr>
          <w:color w:val="000000" w:themeColor="text1"/>
        </w:rPr>
        <w:t xml:space="preserve"> a nuestro centro de salud comunitaria es de </w:t>
      </w:r>
      <w:r w:rsidR="006D4A0F">
        <w:rPr>
          <w:b/>
          <w:color w:val="FF0000"/>
          <w:sz w:val="24"/>
        </w:rPr>
        <w:t>6081</w:t>
      </w:r>
      <w:r w:rsidRPr="004A2CDC">
        <w:rPr>
          <w:color w:val="FF0000"/>
        </w:rPr>
        <w:t xml:space="preserve"> </w:t>
      </w:r>
      <w:r w:rsidRPr="00770F10">
        <w:rPr>
          <w:color w:val="000000" w:themeColor="text1"/>
        </w:rPr>
        <w:t xml:space="preserve">donde  La mayoría de consulta se concentraron en medicina General con un </w:t>
      </w:r>
      <w:r w:rsidR="0032784C">
        <w:rPr>
          <w:color w:val="FF0000"/>
        </w:rPr>
        <w:t>28</w:t>
      </w:r>
      <w:r w:rsidRPr="004A2CDC">
        <w:rPr>
          <w:color w:val="FF0000"/>
        </w:rPr>
        <w:t xml:space="preserve">%, </w:t>
      </w:r>
      <w:r w:rsidRPr="00310156">
        <w:rPr>
          <w:color w:val="000000" w:themeColor="text1"/>
        </w:rPr>
        <w:t>fisiatría</w:t>
      </w:r>
      <w:r w:rsidRPr="006D4594">
        <w:rPr>
          <w:color w:val="8DB3E2" w:themeColor="text2" w:themeTint="66"/>
        </w:rPr>
        <w:t xml:space="preserve"> </w:t>
      </w:r>
      <w:r w:rsidR="0032784C" w:rsidRPr="001A4D70">
        <w:rPr>
          <w:color w:val="E36C0A" w:themeColor="accent6" w:themeShade="BF"/>
        </w:rPr>
        <w:t>20</w:t>
      </w:r>
      <w:r w:rsidRPr="001A4D70">
        <w:rPr>
          <w:color w:val="E36C0A" w:themeColor="accent6" w:themeShade="BF"/>
        </w:rPr>
        <w:t>%</w:t>
      </w:r>
      <w:r w:rsidRPr="004A2CDC">
        <w:rPr>
          <w:color w:val="FF0000"/>
        </w:rPr>
        <w:t xml:space="preserve"> </w:t>
      </w:r>
      <w:r w:rsidRPr="00310156">
        <w:rPr>
          <w:color w:val="000000" w:themeColor="text1"/>
        </w:rPr>
        <w:t xml:space="preserve">y odontología con </w:t>
      </w:r>
      <w:r w:rsidR="00BA5AB6" w:rsidRPr="00DB6ECD">
        <w:rPr>
          <w:b/>
          <w:color w:val="7030A0"/>
        </w:rPr>
        <w:t>17</w:t>
      </w:r>
      <w:r w:rsidRPr="00DB6ECD">
        <w:rPr>
          <w:b/>
          <w:color w:val="7030A0"/>
        </w:rPr>
        <w:t>%</w:t>
      </w:r>
      <w:r w:rsidRPr="002D5E3B">
        <w:rPr>
          <w:color w:val="FF0000"/>
        </w:rPr>
        <w:t xml:space="preserve"> </w:t>
      </w:r>
      <w:r w:rsidRPr="00310156">
        <w:rPr>
          <w:color w:val="000000" w:themeColor="text1"/>
        </w:rPr>
        <w:t xml:space="preserve">respectivamente, Pediatría </w:t>
      </w:r>
      <w:r w:rsidR="00BA5AB6" w:rsidRPr="00552409">
        <w:rPr>
          <w:b/>
          <w:color w:val="FF0000"/>
        </w:rPr>
        <w:t>1</w:t>
      </w:r>
      <w:r w:rsidR="00EB18E4" w:rsidRPr="00552409">
        <w:rPr>
          <w:b/>
          <w:color w:val="FF0000"/>
        </w:rPr>
        <w:t>4</w:t>
      </w:r>
      <w:r w:rsidRPr="00552409">
        <w:rPr>
          <w:b/>
          <w:color w:val="FF0000"/>
        </w:rPr>
        <w:t>%,</w:t>
      </w:r>
      <w:r w:rsidRPr="00552409">
        <w:rPr>
          <w:color w:val="FF0000"/>
        </w:rPr>
        <w:t xml:space="preserve"> </w:t>
      </w:r>
      <w:r w:rsidRPr="00310156">
        <w:rPr>
          <w:color w:val="000000" w:themeColor="text1"/>
        </w:rPr>
        <w:t xml:space="preserve">y ginecología </w:t>
      </w:r>
      <w:r w:rsidRPr="00552409">
        <w:rPr>
          <w:b/>
          <w:color w:val="76923C" w:themeColor="accent3" w:themeShade="BF"/>
        </w:rPr>
        <w:t xml:space="preserve">10%.                                                                                          </w:t>
      </w:r>
    </w:p>
    <w:p w:rsidR="00312AC7" w:rsidRDefault="00312AC7" w:rsidP="00312AC7">
      <w:pPr>
        <w:rPr>
          <w:color w:val="8DB3E2" w:themeColor="text2" w:themeTint="66"/>
        </w:rPr>
      </w:pPr>
    </w:p>
    <w:p w:rsidR="00312AC7" w:rsidRDefault="00312AC7" w:rsidP="00312AC7">
      <w:pPr>
        <w:rPr>
          <w:color w:val="8DB3E2" w:themeColor="text2" w:themeTint="66"/>
        </w:rPr>
      </w:pPr>
    </w:p>
    <w:p w:rsidR="00AF0B6C" w:rsidRDefault="00AF0B6C"/>
    <w:sectPr w:rsidR="00AF0B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0F" w:rsidRDefault="009C460F">
      <w:pPr>
        <w:spacing w:after="0" w:line="240" w:lineRule="auto"/>
      </w:pPr>
      <w:r>
        <w:separator/>
      </w:r>
    </w:p>
  </w:endnote>
  <w:endnote w:type="continuationSeparator" w:id="0">
    <w:p w:rsidR="009C460F" w:rsidRDefault="009C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0F" w:rsidRDefault="009C460F">
      <w:pPr>
        <w:spacing w:after="0" w:line="240" w:lineRule="auto"/>
      </w:pPr>
      <w:r>
        <w:separator/>
      </w:r>
    </w:p>
  </w:footnote>
  <w:footnote w:type="continuationSeparator" w:id="0">
    <w:p w:rsidR="009C460F" w:rsidRDefault="009C4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9C460F">
    <w:pPr>
      <w:pStyle w:val="Encabezado"/>
    </w:pPr>
  </w:p>
  <w:p w:rsidR="00A534D2" w:rsidRDefault="009C460F">
    <w:pPr>
      <w:pStyle w:val="Encabezado"/>
    </w:pPr>
  </w:p>
  <w:p w:rsidR="00A534D2" w:rsidRDefault="009C46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C7"/>
    <w:rsid w:val="000067B3"/>
    <w:rsid w:val="00026B42"/>
    <w:rsid w:val="00085217"/>
    <w:rsid w:val="00090AE2"/>
    <w:rsid w:val="000F6A78"/>
    <w:rsid w:val="00146B3B"/>
    <w:rsid w:val="001A4D70"/>
    <w:rsid w:val="001B2A53"/>
    <w:rsid w:val="001B6F66"/>
    <w:rsid w:val="00213928"/>
    <w:rsid w:val="00215C5A"/>
    <w:rsid w:val="00216D68"/>
    <w:rsid w:val="002435D3"/>
    <w:rsid w:val="002443CE"/>
    <w:rsid w:val="002B7CAC"/>
    <w:rsid w:val="002F21CB"/>
    <w:rsid w:val="002F2421"/>
    <w:rsid w:val="003003D2"/>
    <w:rsid w:val="00303714"/>
    <w:rsid w:val="00310156"/>
    <w:rsid w:val="00312AC7"/>
    <w:rsid w:val="00325CD9"/>
    <w:rsid w:val="0032784C"/>
    <w:rsid w:val="00347E78"/>
    <w:rsid w:val="00371A21"/>
    <w:rsid w:val="00376A6D"/>
    <w:rsid w:val="00394FFB"/>
    <w:rsid w:val="003C309B"/>
    <w:rsid w:val="00442BE2"/>
    <w:rsid w:val="004513EA"/>
    <w:rsid w:val="004610ED"/>
    <w:rsid w:val="00476ADE"/>
    <w:rsid w:val="004A3011"/>
    <w:rsid w:val="004A6321"/>
    <w:rsid w:val="004B4486"/>
    <w:rsid w:val="004D2A2D"/>
    <w:rsid w:val="00513FF3"/>
    <w:rsid w:val="00552409"/>
    <w:rsid w:val="00582F32"/>
    <w:rsid w:val="005C3D3E"/>
    <w:rsid w:val="005F2DA1"/>
    <w:rsid w:val="0060100F"/>
    <w:rsid w:val="00601E70"/>
    <w:rsid w:val="0063772F"/>
    <w:rsid w:val="006637F6"/>
    <w:rsid w:val="006760B1"/>
    <w:rsid w:val="006D4A0F"/>
    <w:rsid w:val="0071695D"/>
    <w:rsid w:val="00720FB7"/>
    <w:rsid w:val="00770F10"/>
    <w:rsid w:val="007C45DD"/>
    <w:rsid w:val="007E49C8"/>
    <w:rsid w:val="007E6DC9"/>
    <w:rsid w:val="00805C06"/>
    <w:rsid w:val="008745A6"/>
    <w:rsid w:val="00894297"/>
    <w:rsid w:val="008A64F7"/>
    <w:rsid w:val="008E6CE4"/>
    <w:rsid w:val="00905C2C"/>
    <w:rsid w:val="00911C41"/>
    <w:rsid w:val="00951E6E"/>
    <w:rsid w:val="0095596F"/>
    <w:rsid w:val="009676CE"/>
    <w:rsid w:val="00982536"/>
    <w:rsid w:val="00997CB2"/>
    <w:rsid w:val="009C460F"/>
    <w:rsid w:val="009C6F8D"/>
    <w:rsid w:val="00A47CF1"/>
    <w:rsid w:val="00A962F7"/>
    <w:rsid w:val="00AE4882"/>
    <w:rsid w:val="00AF0B6C"/>
    <w:rsid w:val="00B05D0C"/>
    <w:rsid w:val="00B7354E"/>
    <w:rsid w:val="00B7771C"/>
    <w:rsid w:val="00B95DE2"/>
    <w:rsid w:val="00BA5AB6"/>
    <w:rsid w:val="00BB0F93"/>
    <w:rsid w:val="00C01904"/>
    <w:rsid w:val="00C40290"/>
    <w:rsid w:val="00C50319"/>
    <w:rsid w:val="00CC6995"/>
    <w:rsid w:val="00CD131F"/>
    <w:rsid w:val="00CF2A81"/>
    <w:rsid w:val="00D15D70"/>
    <w:rsid w:val="00D36D41"/>
    <w:rsid w:val="00D400E6"/>
    <w:rsid w:val="00D64A83"/>
    <w:rsid w:val="00DB6ECD"/>
    <w:rsid w:val="00DE2D27"/>
    <w:rsid w:val="00E57F47"/>
    <w:rsid w:val="00EB18E4"/>
    <w:rsid w:val="00EF2920"/>
    <w:rsid w:val="00EF295D"/>
    <w:rsid w:val="00F4586C"/>
    <w:rsid w:val="00F839B2"/>
    <w:rsid w:val="00FA559C"/>
    <w:rsid w:val="00FC1A0D"/>
    <w:rsid w:val="00FC782D"/>
    <w:rsid w:val="00FD3DA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312AC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312AC7"/>
    <w:pPr>
      <w:ind w:left="720"/>
      <w:contextualSpacing/>
    </w:pPr>
  </w:style>
  <w:style w:type="paragraph" w:styleId="Encabezado">
    <w:name w:val="header"/>
    <w:basedOn w:val="Normal"/>
    <w:link w:val="EncabezadoCar"/>
    <w:uiPriority w:val="99"/>
    <w:unhideWhenUsed/>
    <w:rsid w:val="0031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AC7"/>
  </w:style>
  <w:style w:type="paragraph" w:styleId="Textodeglobo">
    <w:name w:val="Balloon Text"/>
    <w:basedOn w:val="Normal"/>
    <w:link w:val="TextodegloboCar"/>
    <w:uiPriority w:val="99"/>
    <w:semiHidden/>
    <w:unhideWhenUsed/>
    <w:rsid w:val="00312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312AC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312AC7"/>
    <w:pPr>
      <w:ind w:left="720"/>
      <w:contextualSpacing/>
    </w:pPr>
  </w:style>
  <w:style w:type="paragraph" w:styleId="Encabezado">
    <w:name w:val="header"/>
    <w:basedOn w:val="Normal"/>
    <w:link w:val="EncabezadoCar"/>
    <w:uiPriority w:val="99"/>
    <w:unhideWhenUsed/>
    <w:rsid w:val="0031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AC7"/>
  </w:style>
  <w:style w:type="paragraph" w:styleId="Textodeglobo">
    <w:name w:val="Balloon Text"/>
    <w:basedOn w:val="Normal"/>
    <w:link w:val="TextodegloboCar"/>
    <w:uiPriority w:val="99"/>
    <w:semiHidden/>
    <w:unhideWhenUsed/>
    <w:rsid w:val="00312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AYUDAS-SOCIALES</c:v>
                </c:pt>
              </c:strCache>
            </c:strRef>
          </c:tx>
          <c:dLbls>
            <c:showLegendKey val="0"/>
            <c:showVal val="0"/>
            <c:showCatName val="1"/>
            <c:showSerName val="0"/>
            <c:showPercent val="1"/>
            <c:showBubbleSize val="0"/>
            <c:showLeaderLines val="1"/>
          </c:dLbls>
          <c:cat>
            <c:strRef>
              <c:f>Hoja1!$A$2:$A$6</c:f>
              <c:strCache>
                <c:ptCount val="5"/>
                <c:pt idx="0">
                  <c:v>Raciones Alimenticias</c:v>
                </c:pt>
                <c:pt idx="1">
                  <c:v>Electro Domestico Enser,</c:v>
                </c:pt>
                <c:pt idx="2">
                  <c:v>Ropa de Camas</c:v>
                </c:pt>
                <c:pt idx="3">
                  <c:v>Ayudas Medicamento</c:v>
                </c:pt>
                <c:pt idx="4">
                  <c:v>Ayudas Salud</c:v>
                </c:pt>
              </c:strCache>
            </c:strRef>
          </c:cat>
          <c:val>
            <c:numRef>
              <c:f>Hoja1!$B$2:$B$6</c:f>
              <c:numCache>
                <c:formatCode>General</c:formatCode>
                <c:ptCount val="5"/>
                <c:pt idx="0">
                  <c:v>72060</c:v>
                </c:pt>
                <c:pt idx="1">
                  <c:v>300</c:v>
                </c:pt>
                <c:pt idx="2">
                  <c:v>169</c:v>
                </c:pt>
                <c:pt idx="3">
                  <c:v>2</c:v>
                </c:pt>
                <c:pt idx="4">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DO"/>
              <a:t>SERVICIOS</a:t>
            </a:r>
            <a:r>
              <a:rPr lang="es-DO" baseline="0"/>
              <a:t> DE SALUD</a:t>
            </a:r>
            <a:endParaRPr lang="es-DO"/>
          </a:p>
        </c:rich>
      </c:tx>
      <c:overlay val="0"/>
    </c:title>
    <c:autoTitleDeleted val="0"/>
    <c:plotArea>
      <c:layout/>
      <c:barChart>
        <c:barDir val="col"/>
        <c:grouping val="clustered"/>
        <c:varyColors val="0"/>
        <c:ser>
          <c:idx val="0"/>
          <c:order val="0"/>
          <c:invertIfNegative val="0"/>
          <c:dPt>
            <c:idx val="0"/>
            <c:invertIfNegative val="0"/>
            <c:bubble3D val="0"/>
            <c:spPr>
              <a:solidFill>
                <a:srgbClr val="FF0000"/>
              </a:solidFill>
            </c:spPr>
          </c:dPt>
          <c:dPt>
            <c:idx val="1"/>
            <c:invertIfNegative val="0"/>
            <c:bubble3D val="0"/>
            <c:spPr>
              <a:solidFill>
                <a:srgbClr val="FFC000"/>
              </a:solidFill>
            </c:spPr>
          </c:dPt>
          <c:dPt>
            <c:idx val="2"/>
            <c:invertIfNegative val="0"/>
            <c:bubble3D val="0"/>
            <c:spPr>
              <a:solidFill>
                <a:schemeClr val="accent3"/>
              </a:solidFill>
            </c:spPr>
          </c:dPt>
          <c:dPt>
            <c:idx val="3"/>
            <c:invertIfNegative val="0"/>
            <c:bubble3D val="0"/>
            <c:spPr>
              <a:solidFill>
                <a:srgbClr val="C00000"/>
              </a:solidFill>
            </c:spPr>
          </c:dPt>
          <c:dPt>
            <c:idx val="4"/>
            <c:invertIfNegative val="0"/>
            <c:bubble3D val="0"/>
            <c:spPr>
              <a:solidFill>
                <a:srgbClr val="00B0F0"/>
              </a:solidFill>
            </c:spPr>
          </c:dPt>
          <c:dPt>
            <c:idx val="6"/>
            <c:invertIfNegative val="0"/>
            <c:bubble3D val="0"/>
            <c:spPr>
              <a:solidFill>
                <a:schemeClr val="bg2">
                  <a:lumMod val="50000"/>
                </a:schemeClr>
              </a:solidFill>
            </c:spPr>
          </c:dPt>
          <c:dPt>
            <c:idx val="7"/>
            <c:invertIfNegative val="0"/>
            <c:bubble3D val="0"/>
            <c:spPr>
              <a:solidFill>
                <a:schemeClr val="accent6">
                  <a:lumMod val="50000"/>
                </a:schemeClr>
              </a:solidFill>
            </c:spPr>
          </c:dPt>
          <c:dPt>
            <c:idx val="8"/>
            <c:invertIfNegative val="0"/>
            <c:bubble3D val="0"/>
            <c:spPr>
              <a:solidFill>
                <a:schemeClr val="accent6"/>
              </a:solidFill>
            </c:spPr>
          </c:dPt>
          <c:dPt>
            <c:idx val="9"/>
            <c:invertIfNegative val="0"/>
            <c:bubble3D val="0"/>
            <c:spPr>
              <a:solidFill>
                <a:srgbClr val="00B050"/>
              </a:solidFill>
            </c:spPr>
          </c:dPt>
          <c:dPt>
            <c:idx val="10"/>
            <c:invertIfNegative val="0"/>
            <c:bubble3D val="0"/>
            <c:spPr>
              <a:solidFill>
                <a:srgbClr val="7030A0"/>
              </a:solidFill>
            </c:spPr>
          </c:dPt>
          <c:dLbls>
            <c:dLbl>
              <c:idx val="0"/>
              <c:layout>
                <c:manualLayout>
                  <c:x val="-2.2072296678084589E-3"/>
                  <c:y val="2.4003621333738262E-2"/>
                </c:manualLayout>
              </c:layout>
              <c:tx>
                <c:rich>
                  <a:bodyPr/>
                  <a:lstStyle/>
                  <a:p>
                    <a:r>
                      <a:rPr lang="en-US"/>
                      <a:t>28%</a:t>
                    </a:r>
                  </a:p>
                </c:rich>
              </c:tx>
              <c:showLegendKey val="0"/>
              <c:showVal val="1"/>
              <c:showCatName val="0"/>
              <c:showSerName val="0"/>
              <c:showPercent val="0"/>
              <c:showBubbleSize val="0"/>
            </c:dLbl>
            <c:dLbl>
              <c:idx val="2"/>
              <c:tx>
                <c:rich>
                  <a:bodyPr/>
                  <a:lstStyle/>
                  <a:p>
                    <a:r>
                      <a:rPr lang="en-US"/>
                      <a:t>10%</a:t>
                    </a:r>
                  </a:p>
                </c:rich>
              </c:tx>
              <c:showLegendKey val="0"/>
              <c:showVal val="1"/>
              <c:showCatName val="0"/>
              <c:showSerName val="0"/>
              <c:showPercent val="0"/>
              <c:showBubbleSize val="0"/>
            </c:dLbl>
            <c:dLbl>
              <c:idx val="3"/>
              <c:tx>
                <c:rich>
                  <a:bodyPr/>
                  <a:lstStyle/>
                  <a:p>
                    <a:r>
                      <a:rPr lang="en-US"/>
                      <a:t>14%</a:t>
                    </a:r>
                  </a:p>
                </c:rich>
              </c:tx>
              <c:showLegendKey val="0"/>
              <c:showVal val="1"/>
              <c:showCatName val="0"/>
              <c:showSerName val="0"/>
              <c:showPercent val="0"/>
              <c:showBubbleSize val="0"/>
            </c:dLbl>
            <c:dLbl>
              <c:idx val="8"/>
              <c:tx>
                <c:rich>
                  <a:bodyPr/>
                  <a:lstStyle/>
                  <a:p>
                    <a:r>
                      <a:rPr lang="en-US"/>
                      <a:t>20%</a:t>
                    </a:r>
                  </a:p>
                </c:rich>
              </c:tx>
              <c:showLegendKey val="0"/>
              <c:showVal val="1"/>
              <c:showCatName val="0"/>
              <c:showSerName val="0"/>
              <c:showPercent val="0"/>
              <c:showBubbleSize val="0"/>
            </c:dLbl>
            <c:dLbl>
              <c:idx val="10"/>
              <c:tx>
                <c:rich>
                  <a:bodyPr/>
                  <a:lstStyle/>
                  <a:p>
                    <a:r>
                      <a:rPr lang="en-US"/>
                      <a:t>17%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Hoja1!$G$4:$G$14</c:f>
              <c:strCache>
                <c:ptCount val="11"/>
                <c:pt idx="0">
                  <c:v>CANTIDAD DE  PACIENTES ATENTIDOS EN MEDICINA GENERAL</c:v>
                </c:pt>
                <c:pt idx="1">
                  <c:v>CANTIDAD DE PACIENTES ATENTIDOS EN EMERGENCIA</c:v>
                </c:pt>
                <c:pt idx="2">
                  <c:v>CANTIDAD DE PACIENTES ATENTIDOS EN GINECOLOGIA</c:v>
                </c:pt>
                <c:pt idx="3">
                  <c:v>CANTIDAD DE PACIENTES ATENTIDOS EN PEDIATRIA</c:v>
                </c:pt>
                <c:pt idx="4">
                  <c:v>CANTIDAD DE PACIENTES ATENTIDOS EN CARDIOLOGIA</c:v>
                </c:pt>
                <c:pt idx="5">
                  <c:v>CANTIDAD DE PACIENTES ATENTIDOS EN GASTROENTEROLOGIA</c:v>
                </c:pt>
                <c:pt idx="6">
                  <c:v>CANTIDAD DE PACIENTES ATENTIDOS EN NEUROLOGIA</c:v>
                </c:pt>
                <c:pt idx="7">
                  <c:v>CANTIDAD DE PACIENTES ATENTIDOS EN NEUMOLOGIA</c:v>
                </c:pt>
                <c:pt idx="8">
                  <c:v>CANTIDAD DE PACIENTES ATENTIDOS EN FISIATRIA</c:v>
                </c:pt>
                <c:pt idx="9">
                  <c:v>CANTIDAD DE PACIENTES ATENTIDOS EN PSICOLOGIA</c:v>
                </c:pt>
                <c:pt idx="10">
                  <c:v>CANTIDAD DE PACIENTES ATENTIDOS EN ODONTOLOGIA</c:v>
                </c:pt>
              </c:strCache>
            </c:strRef>
          </c:cat>
          <c:val>
            <c:numRef>
              <c:f>Hoja1!$H$4:$H$14</c:f>
              <c:numCache>
                <c:formatCode>General</c:formatCode>
                <c:ptCount val="11"/>
                <c:pt idx="0">
                  <c:v>1723</c:v>
                </c:pt>
                <c:pt idx="1">
                  <c:v>122</c:v>
                </c:pt>
                <c:pt idx="2">
                  <c:v>634</c:v>
                </c:pt>
                <c:pt idx="3">
                  <c:v>869</c:v>
                </c:pt>
                <c:pt idx="4">
                  <c:v>148</c:v>
                </c:pt>
                <c:pt idx="5">
                  <c:v>62</c:v>
                </c:pt>
                <c:pt idx="6">
                  <c:v>78</c:v>
                </c:pt>
                <c:pt idx="7">
                  <c:v>90</c:v>
                </c:pt>
                <c:pt idx="8">
                  <c:v>1245</c:v>
                </c:pt>
                <c:pt idx="9">
                  <c:v>70</c:v>
                </c:pt>
                <c:pt idx="10">
                  <c:v>1040</c:v>
                </c:pt>
              </c:numCache>
            </c:numRef>
          </c:val>
        </c:ser>
        <c:dLbls>
          <c:showLegendKey val="0"/>
          <c:showVal val="0"/>
          <c:showCatName val="0"/>
          <c:showSerName val="0"/>
          <c:showPercent val="0"/>
          <c:showBubbleSize val="0"/>
        </c:dLbls>
        <c:gapWidth val="150"/>
        <c:axId val="254146432"/>
        <c:axId val="254147968"/>
      </c:barChart>
      <c:catAx>
        <c:axId val="254146432"/>
        <c:scaling>
          <c:orientation val="minMax"/>
        </c:scaling>
        <c:delete val="0"/>
        <c:axPos val="b"/>
        <c:numFmt formatCode="General" sourceLinked="1"/>
        <c:majorTickMark val="out"/>
        <c:minorTickMark val="none"/>
        <c:tickLblPos val="nextTo"/>
        <c:crossAx val="254147968"/>
        <c:crosses val="autoZero"/>
        <c:auto val="1"/>
        <c:lblAlgn val="ctr"/>
        <c:lblOffset val="100"/>
        <c:noMultiLvlLbl val="0"/>
      </c:catAx>
      <c:valAx>
        <c:axId val="254147968"/>
        <c:scaling>
          <c:orientation val="minMax"/>
        </c:scaling>
        <c:delete val="0"/>
        <c:axPos val="l"/>
        <c:majorGridlines/>
        <c:numFmt formatCode="General" sourceLinked="1"/>
        <c:majorTickMark val="out"/>
        <c:minorTickMark val="none"/>
        <c:tickLblPos val="nextTo"/>
        <c:crossAx val="254146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18</cp:revision>
  <dcterms:created xsi:type="dcterms:W3CDTF">2018-06-07T19:44:00Z</dcterms:created>
  <dcterms:modified xsi:type="dcterms:W3CDTF">2018-07-07T00:10:00Z</dcterms:modified>
</cp:coreProperties>
</file>