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E05875" w:rsidRDefault="00E05875">
      <w:pPr>
        <w:rPr>
          <w:noProof/>
          <w:lang w:eastAsia="es-DO"/>
        </w:rPr>
      </w:pPr>
    </w:p>
    <w:p w:rsidR="00301BC6" w:rsidRDefault="00E05875" w:rsidP="005365FF">
      <w:pPr>
        <w:jc w:val="center"/>
      </w:pPr>
      <w:r>
        <w:rPr>
          <w:noProof/>
          <w:lang w:eastAsia="es-DO"/>
        </w:rPr>
        <w:drawing>
          <wp:inline distT="0" distB="0" distL="0" distR="0" wp14:anchorId="532A0853" wp14:editId="0E8E493A">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E05875" w:rsidRDefault="00E05875"/>
    <w:p w:rsidR="00E05875" w:rsidRDefault="00E05875">
      <w:r>
        <w:t xml:space="preserve"> </w:t>
      </w:r>
    </w:p>
    <w:tbl>
      <w:tblPr>
        <w:tblStyle w:val="Sombreadoclaro-nfasis1"/>
        <w:tblW w:w="9322" w:type="dxa"/>
        <w:jc w:val="center"/>
        <w:tblLook w:val="0000" w:firstRow="0" w:lastRow="0" w:firstColumn="0" w:lastColumn="0" w:noHBand="0" w:noVBand="0"/>
      </w:tblPr>
      <w:tblGrid>
        <w:gridCol w:w="9322"/>
      </w:tblGrid>
      <w:tr w:rsidR="00E05875" w:rsidTr="005365FF">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322" w:type="dxa"/>
          </w:tcPr>
          <w:p w:rsidR="003E2B7D" w:rsidRDefault="003E2B7D" w:rsidP="003E2B7D">
            <w:pPr>
              <w:spacing w:after="200" w:line="276" w:lineRule="auto"/>
              <w:jc w:val="center"/>
              <w:rPr>
                <w:sz w:val="36"/>
              </w:rPr>
            </w:pPr>
            <w:r>
              <w:rPr>
                <w:sz w:val="36"/>
              </w:rPr>
              <w:t>BOLET</w:t>
            </w:r>
            <w:r w:rsidRPr="003E2B7D">
              <w:rPr>
                <w:sz w:val="36"/>
              </w:rPr>
              <w:t>Í</w:t>
            </w:r>
            <w:r>
              <w:rPr>
                <w:sz w:val="36"/>
              </w:rPr>
              <w:t>N INFORMATIVO ESTAD</w:t>
            </w:r>
            <w:r w:rsidRPr="003E2B7D">
              <w:rPr>
                <w:sz w:val="36"/>
              </w:rPr>
              <w:t>Í</w:t>
            </w:r>
            <w:r>
              <w:rPr>
                <w:sz w:val="36"/>
              </w:rPr>
              <w:t>STICO</w:t>
            </w:r>
          </w:p>
          <w:p w:rsidR="00E05875" w:rsidRDefault="002374B1" w:rsidP="003E2B7D">
            <w:pPr>
              <w:spacing w:after="200" w:line="276" w:lineRule="auto"/>
              <w:jc w:val="center"/>
              <w:rPr>
                <w:sz w:val="36"/>
              </w:rPr>
            </w:pPr>
            <w:r>
              <w:rPr>
                <w:sz w:val="36"/>
              </w:rPr>
              <w:t xml:space="preserve"> Enero-</w:t>
            </w:r>
            <w:r w:rsidR="00BA2380">
              <w:rPr>
                <w:sz w:val="36"/>
              </w:rPr>
              <w:t xml:space="preserve">Octubre </w:t>
            </w:r>
            <w:r w:rsidR="003E2B7D">
              <w:rPr>
                <w:sz w:val="36"/>
              </w:rPr>
              <w:t xml:space="preserve"> 2017</w:t>
            </w:r>
          </w:p>
        </w:tc>
      </w:tr>
    </w:tbl>
    <w:p w:rsidR="00E05875" w:rsidRDefault="00E05875"/>
    <w:p w:rsidR="00E05875" w:rsidRDefault="00E05875"/>
    <w:p w:rsidR="00E05875" w:rsidRDefault="00E05875"/>
    <w:p w:rsidR="00E05875" w:rsidRDefault="00E05875"/>
    <w:p w:rsidR="003E2B7D" w:rsidRDefault="003E2B7D"/>
    <w:p w:rsidR="003E2B7D" w:rsidRDefault="003E2B7D"/>
    <w:p w:rsidR="003E2B7D" w:rsidRDefault="003E2B7D"/>
    <w:p w:rsidR="003E2B7D" w:rsidRDefault="003E2B7D"/>
    <w:p w:rsidR="00E05875" w:rsidRDefault="00E05875"/>
    <w:p w:rsidR="003E2B7D" w:rsidRDefault="003E2B7D"/>
    <w:p w:rsidR="003E2B7D" w:rsidRDefault="003E2B7D" w:rsidP="003E2B7D">
      <w:pPr>
        <w:spacing w:line="0" w:lineRule="atLeast"/>
        <w:rPr>
          <w:rFonts w:ascii="Arial" w:eastAsia="Arial" w:hAnsi="Arial"/>
          <w:b/>
          <w:color w:val="042487"/>
          <w:sz w:val="24"/>
        </w:rPr>
      </w:pPr>
      <w:r>
        <w:rPr>
          <w:rFonts w:ascii="Arial" w:eastAsia="Arial" w:hAnsi="Arial"/>
          <w:b/>
          <w:color w:val="042487"/>
          <w:sz w:val="24"/>
        </w:rPr>
        <w:t>INFORMACIÓN INSTITUCIONAL</w:t>
      </w:r>
    </w:p>
    <w:p w:rsidR="003E2B7D" w:rsidRDefault="003E2B7D" w:rsidP="003E2B7D">
      <w:pPr>
        <w:spacing w:line="0" w:lineRule="atLeast"/>
        <w:ind w:left="280"/>
        <w:rPr>
          <w:rFonts w:ascii="Arial" w:eastAsia="Arial" w:hAnsi="Arial"/>
          <w:b/>
          <w:sz w:val="24"/>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ANTECEDENTES:</w:t>
      </w:r>
    </w:p>
    <w:p w:rsidR="003E2B7D" w:rsidRPr="003E2B7D" w:rsidRDefault="003E2B7D" w:rsidP="003E2B7D">
      <w:pPr>
        <w:spacing w:line="250" w:lineRule="auto"/>
        <w:ind w:left="280"/>
        <w:jc w:val="both"/>
        <w:rPr>
          <w:rFonts w:ascii="Arial" w:eastAsia="Arial" w:hAnsi="Arial"/>
          <w:sz w:val="24"/>
        </w:rPr>
      </w:pPr>
      <w:r>
        <w:rPr>
          <w:rFonts w:ascii="Arial" w:eastAsia="Arial" w:hAnsi="Arial"/>
          <w:sz w:val="24"/>
        </w:rPr>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3E2B7D" w:rsidRDefault="003E2B7D" w:rsidP="003E2B7D">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3E2B7D" w:rsidRDefault="003E2B7D" w:rsidP="003E2B7D">
      <w:pPr>
        <w:spacing w:line="368" w:lineRule="exact"/>
        <w:rPr>
          <w:rFonts w:ascii="Times New Roman" w:eastAsia="Times New Roman" w:hAnsi="Times New Roman"/>
        </w:rPr>
      </w:pPr>
    </w:p>
    <w:p w:rsidR="003E2B7D" w:rsidRPr="003E2B7D" w:rsidRDefault="003E2B7D" w:rsidP="003E2B7D">
      <w:pPr>
        <w:spacing w:line="0" w:lineRule="atLeast"/>
        <w:ind w:left="280"/>
        <w:rPr>
          <w:rFonts w:ascii="Arial" w:eastAsia="Arial" w:hAnsi="Arial"/>
          <w:b/>
          <w:sz w:val="24"/>
        </w:rPr>
      </w:pPr>
      <w:r>
        <w:rPr>
          <w:rFonts w:ascii="Arial" w:eastAsia="Arial" w:hAnsi="Arial"/>
          <w:b/>
          <w:sz w:val="24"/>
        </w:rPr>
        <w:t xml:space="preserve"> MARCO LEGAL:</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3E2B7D" w:rsidRPr="003E2B7D" w:rsidRDefault="003E2B7D" w:rsidP="003E2B7D">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3E2B7D" w:rsidRDefault="003E2B7D" w:rsidP="003E2B7D">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367" w:lineRule="exact"/>
        <w:rPr>
          <w:rFonts w:ascii="Times New Roman" w:eastAsia="Times New Roman" w:hAnsi="Times New Roman"/>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3E2B7D" w:rsidRDefault="003E2B7D" w:rsidP="003E2B7D">
      <w:pPr>
        <w:spacing w:line="251" w:lineRule="auto"/>
        <w:jc w:val="both"/>
        <w:rPr>
          <w:rFonts w:ascii="Arial" w:eastAsia="Arial" w:hAnsi="Arial"/>
          <w:sz w:val="24"/>
        </w:rPr>
      </w:pPr>
      <w:r>
        <w:rPr>
          <w:rFonts w:ascii="Arial" w:eastAsia="Arial" w:hAnsi="Arial"/>
          <w:sz w:val="24"/>
        </w:rPr>
        <w:t>“Somos una institución</w:t>
      </w:r>
      <w:r w:rsidR="00BA2380">
        <w:rPr>
          <w:rFonts w:ascii="Arial" w:eastAsia="Arial" w:hAnsi="Arial"/>
          <w:sz w:val="24"/>
        </w:rPr>
        <w:t xml:space="preserve"> </w:t>
      </w:r>
      <w:r>
        <w:rPr>
          <w:rFonts w:ascii="Arial" w:eastAsia="Arial" w:hAnsi="Arial"/>
          <w:sz w:val="24"/>
        </w:rPr>
        <w:t>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3E2B7D" w:rsidRDefault="003E2B7D" w:rsidP="003E2B7D">
      <w:pPr>
        <w:spacing w:line="251" w:lineRule="auto"/>
        <w:jc w:val="both"/>
        <w:rPr>
          <w:rFonts w:ascii="Arial" w:eastAsia="Arial" w:hAnsi="Arial"/>
          <w:sz w:val="24"/>
        </w:rPr>
      </w:pPr>
    </w:p>
    <w:p w:rsidR="003E2B7D" w:rsidRPr="003E2B7D" w:rsidRDefault="003E2B7D" w:rsidP="003E2B7D">
      <w:pPr>
        <w:spacing w:line="251" w:lineRule="auto"/>
        <w:jc w:val="both"/>
        <w:rPr>
          <w:rFonts w:ascii="Arial" w:eastAsia="Arial" w:hAnsi="Arial"/>
          <w:sz w:val="24"/>
        </w:rPr>
      </w:pPr>
    </w:p>
    <w:p w:rsidR="003E2B7D" w:rsidRPr="003E2B7D" w:rsidRDefault="003E2B7D" w:rsidP="003E2B7D">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3E2B7D" w:rsidRPr="003E2B7D" w:rsidRDefault="003E2B7D" w:rsidP="003E2B7D">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jc w:val="center"/>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3E2B7D" w:rsidRDefault="003E2B7D" w:rsidP="003E2B7D">
      <w:pPr>
        <w:spacing w:line="0" w:lineRule="atLeast"/>
        <w:rPr>
          <w:rFonts w:ascii="Arial" w:eastAsia="Arial" w:hAnsi="Arial"/>
          <w:color w:val="002060"/>
          <w:sz w:val="24"/>
          <w:u w:val="single"/>
        </w:rPr>
      </w:pPr>
    </w:p>
    <w:p w:rsidR="00AD10BE" w:rsidRPr="00AD10BE" w:rsidRDefault="003E2B7D" w:rsidP="00AD10BE">
      <w:pPr>
        <w:spacing w:line="0" w:lineRule="atLeast"/>
        <w:jc w:val="center"/>
        <w:rPr>
          <w:rFonts w:ascii="Arial" w:eastAsia="Arial" w:hAnsi="Arial"/>
          <w:color w:val="002060"/>
          <w:sz w:val="24"/>
          <w:u w:val="single"/>
        </w:rPr>
      </w:pPr>
      <w:r>
        <w:rPr>
          <w:rFonts w:ascii="Arial" w:eastAsia="Arial" w:hAnsi="Arial"/>
          <w:color w:val="002060"/>
          <w:sz w:val="24"/>
          <w:u w:val="single"/>
        </w:rPr>
        <w:lastRenderedPageBreak/>
        <w:t>VALORES</w:t>
      </w:r>
    </w:p>
    <w:p w:rsid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eastAsia="Times New Roman" w:cstheme="minorHAnsi"/>
          <w:b/>
          <w:sz w:val="24"/>
          <w:szCs w:val="24"/>
        </w:rPr>
      </w:pPr>
      <w:r w:rsidRPr="00AD10BE">
        <w:rPr>
          <w:rFonts w:eastAsia="Times New Roman" w:cstheme="minorHAnsi"/>
          <w:b/>
          <w:sz w:val="24"/>
          <w:szCs w:val="24"/>
        </w:rPr>
        <w:t>Vocación de Servicios</w:t>
      </w:r>
    </w:p>
    <w:p w:rsidR="00AD10BE" w:rsidRPr="00AD10BE" w:rsidRDefault="00AD10BE" w:rsidP="00AD10BE">
      <w:pPr>
        <w:jc w:val="center"/>
        <w:rPr>
          <w:rFonts w:eastAsia="Times New Roman"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Responsabilidad</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Transparencia</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Trabajo en Equipo</w:t>
      </w:r>
    </w:p>
    <w:p w:rsidR="00AD10BE" w:rsidRPr="00AD10BE" w:rsidRDefault="00AD10BE" w:rsidP="00AD10BE">
      <w:pPr>
        <w:jc w:val="center"/>
        <w:rPr>
          <w:rFonts w:cstheme="minorHAnsi"/>
          <w:b/>
          <w:sz w:val="24"/>
          <w:szCs w:val="24"/>
        </w:rPr>
      </w:pPr>
    </w:p>
    <w:p w:rsidR="00AD10BE" w:rsidRPr="00AD10BE" w:rsidRDefault="00AD10BE" w:rsidP="00AD10BE">
      <w:pPr>
        <w:jc w:val="center"/>
        <w:rPr>
          <w:rFonts w:cstheme="minorHAnsi"/>
          <w:b/>
          <w:sz w:val="24"/>
          <w:szCs w:val="24"/>
        </w:rPr>
      </w:pPr>
      <w:r w:rsidRPr="00AD10BE">
        <w:rPr>
          <w:rFonts w:cstheme="minorHAnsi"/>
          <w:b/>
          <w:sz w:val="24"/>
          <w:szCs w:val="24"/>
        </w:rPr>
        <w:t>Sensibilidad  Social</w:t>
      </w:r>
    </w:p>
    <w:p w:rsidR="00AD10BE" w:rsidRPr="00AD10BE" w:rsidRDefault="00AD10BE" w:rsidP="00AD10BE">
      <w:pPr>
        <w:jc w:val="center"/>
        <w:rPr>
          <w:rFonts w:eastAsia="Times New Roman" w:cstheme="minorHAnsi"/>
          <w:sz w:val="24"/>
          <w:szCs w:val="24"/>
        </w:rPr>
        <w:sectPr w:rsidR="00AD10BE" w:rsidRPr="00AD10BE" w:rsidSect="003E2B7D">
          <w:headerReference w:type="default" r:id="rId10"/>
          <w:pgSz w:w="12240" w:h="15840"/>
          <w:pgMar w:top="1276" w:right="720" w:bottom="0" w:left="720" w:header="0" w:footer="0" w:gutter="0"/>
          <w:cols w:space="0" w:equalWidth="0">
            <w:col w:w="10800"/>
          </w:cols>
          <w:docGrid w:linePitch="360"/>
        </w:sectPr>
      </w:pPr>
    </w:p>
    <w:p w:rsidR="00AB2D31" w:rsidRDefault="00AB2D31" w:rsidP="003E2B7D">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3E2B7D" w:rsidRDefault="00AB2D31" w:rsidP="003E2B7D">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sidR="00430EB1">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w:t>
      </w:r>
      <w:proofErr w:type="spellStart"/>
      <w:r w:rsidRPr="00AB2D31">
        <w:rPr>
          <w:rFonts w:ascii="Times New Roman" w:eastAsia="Times New Roman" w:hAnsi="Times New Roman"/>
        </w:rPr>
        <w:t>Peravia</w:t>
      </w:r>
      <w:proofErr w:type="spellEnd"/>
      <w:r w:rsidRPr="00AB2D31">
        <w:rPr>
          <w:rFonts w:ascii="Times New Roman" w:eastAsia="Times New Roman" w:hAnsi="Times New Roman"/>
        </w:rPr>
        <w:t xml:space="preserve">,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xml:space="preserve">, Elías Piña, Santiago de los Caballeros, </w:t>
      </w:r>
      <w:proofErr w:type="spellStart"/>
      <w:r w:rsidRPr="00AB2D31">
        <w:rPr>
          <w:rFonts w:ascii="Times New Roman" w:eastAsia="Times New Roman" w:hAnsi="Times New Roman"/>
        </w:rPr>
        <w:t>Dajabón</w:t>
      </w:r>
      <w:proofErr w:type="spellEnd"/>
      <w:r w:rsidRPr="00AB2D31">
        <w:rPr>
          <w:rFonts w:ascii="Times New Roman" w:eastAsia="Times New Roman" w:hAnsi="Times New Roman"/>
        </w:rPr>
        <w:t xml:space="preserve">, Monte Cristi, Puerto Plata, Valverde Mao, Espaillat, Duarte, María Trinidad Sánchez, Monte Plata, San Pedro de Macorís,  el </w:t>
      </w:r>
      <w:proofErr w:type="spellStart"/>
      <w:r w:rsidRPr="00AB2D31">
        <w:rPr>
          <w:rFonts w:ascii="Times New Roman" w:eastAsia="Times New Roman" w:hAnsi="Times New Roman"/>
        </w:rPr>
        <w:t>Seibo</w:t>
      </w:r>
      <w:proofErr w:type="spellEnd"/>
      <w:r w:rsidRPr="00AB2D31">
        <w:rPr>
          <w:rFonts w:ascii="Times New Roman" w:eastAsia="Times New Roman" w:hAnsi="Times New Roman"/>
        </w:rPr>
        <w:t>, La Altagracia, Independencia, Pedernales, Samaná y Boca Chica.</w:t>
      </w:r>
    </w:p>
    <w:p w:rsidR="00AB2D31" w:rsidRDefault="00AB2D31" w:rsidP="003E2B7D">
      <w:pPr>
        <w:spacing w:line="200" w:lineRule="exact"/>
        <w:rPr>
          <w:rFonts w:ascii="Times New Roman" w:eastAsia="Times New Roman" w:hAnsi="Times New Roman"/>
        </w:rPr>
      </w:pPr>
    </w:p>
    <w:p w:rsidR="00AB2D31" w:rsidRDefault="00AB2D31"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3E2B7D" w:rsidP="003E2B7D">
      <w:pPr>
        <w:spacing w:line="200" w:lineRule="exact"/>
        <w:rPr>
          <w:rFonts w:ascii="Times New Roman" w:eastAsia="Times New Roman" w:hAnsi="Times New Roman"/>
        </w:rPr>
      </w:pPr>
    </w:p>
    <w:p w:rsidR="003E2B7D" w:rsidRDefault="00AB2D31">
      <w:r>
        <w:rPr>
          <w:noProof/>
          <w:lang w:eastAsia="es-DO"/>
        </w:rPr>
        <w:drawing>
          <wp:inline distT="0" distB="0" distL="0" distR="0" wp14:anchorId="3DD65AEE" wp14:editId="636B43A3">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AB2D31" w:rsidRDefault="00AB2D31"/>
    <w:p w:rsidR="00AB2D31" w:rsidRDefault="00AB2D31"/>
    <w:p w:rsidR="00AB2D31" w:rsidRDefault="00AB2D31"/>
    <w:p w:rsidR="00AB2D31" w:rsidRDefault="00AB2D31"/>
    <w:p w:rsidR="00AB2D31" w:rsidRDefault="00AB2D31"/>
    <w:p w:rsidR="00AB2D31" w:rsidRDefault="00AB2D31"/>
    <w:p w:rsidR="00AB2D31" w:rsidRDefault="00AB2D31"/>
    <w:p w:rsidR="00AB2D31" w:rsidRPr="00AB2D31" w:rsidRDefault="00AB2D31" w:rsidP="00AB2D31">
      <w:pPr>
        <w:pStyle w:val="Prrafodelista"/>
        <w:numPr>
          <w:ilvl w:val="0"/>
          <w:numId w:val="2"/>
        </w:numPr>
        <w:rPr>
          <w:b/>
          <w:sz w:val="28"/>
        </w:rPr>
      </w:pPr>
      <w:r w:rsidRPr="00AB2D31">
        <w:rPr>
          <w:b/>
          <w:sz w:val="28"/>
        </w:rPr>
        <w:lastRenderedPageBreak/>
        <w:t>Producción General del PASP (</w:t>
      </w:r>
      <w:r w:rsidR="003E0974">
        <w:rPr>
          <w:b/>
          <w:sz w:val="28"/>
        </w:rPr>
        <w:t xml:space="preserve"> ENERO-</w:t>
      </w:r>
      <w:r w:rsidR="00BA2380">
        <w:rPr>
          <w:b/>
          <w:sz w:val="28"/>
        </w:rPr>
        <w:t>OCTUBRE</w:t>
      </w:r>
      <w:r w:rsidRPr="00AB2D31">
        <w:rPr>
          <w:b/>
          <w:sz w:val="28"/>
        </w:rPr>
        <w:t xml:space="preserve"> 2017)</w:t>
      </w:r>
    </w:p>
    <w:p w:rsidR="00AB2D31" w:rsidRDefault="00AB2D31"/>
    <w:p w:rsidR="003E0974" w:rsidRDefault="003E0974">
      <w:r>
        <w:t>El presente boletín contiene el resumen de enero-octubre 2017 de toda la producción del Plan de Asistencia Social brinda a la ciudadanía de todo el territorio nacional, específicamente en las zonas vulnerables.</w:t>
      </w:r>
    </w:p>
    <w:p w:rsidR="003E0974" w:rsidRDefault="003E0974">
      <w:r>
        <w:t xml:space="preserve">Podemos observar que del producto correspondiente a </w:t>
      </w:r>
      <w:r w:rsidRPr="003B19A7">
        <w:rPr>
          <w:i/>
        </w:rPr>
        <w:t>Raciones Alimenticias</w:t>
      </w:r>
      <w:r>
        <w:t xml:space="preserve"> fueron entregado un total de </w:t>
      </w:r>
      <w:r w:rsidR="003B19A7">
        <w:t>1, 707,750, incluyendo las fundas reforzadas. En mes  de septiembre fue realizada la mayor cantidad de entregas de raciones en respuesta a las fuertes lluvias que afectaron al país.</w:t>
      </w:r>
    </w:p>
    <w:p w:rsidR="003B19A7" w:rsidRDefault="003B19A7">
      <w:r>
        <w:t xml:space="preserve">Cabe destacar que las estadísticas no incluyen unas </w:t>
      </w:r>
      <w:r>
        <w:t>368, 835 unidades  de Kit de Habichuelas</w:t>
      </w:r>
      <w:r w:rsidRPr="003B19A7">
        <w:t xml:space="preserve"> para las con Dulces</w:t>
      </w:r>
      <w:r>
        <w:t>,</w:t>
      </w:r>
      <w:r>
        <w:t xml:space="preserve"> </w:t>
      </w:r>
      <w:r>
        <w:t>que se entregaron en abril.</w:t>
      </w:r>
    </w:p>
    <w:p w:rsidR="003B19A7" w:rsidRDefault="003B19A7">
      <w:r>
        <w:t xml:space="preserve">Con respecto a las </w:t>
      </w:r>
      <w:r w:rsidRPr="003B19A7">
        <w:rPr>
          <w:i/>
        </w:rPr>
        <w:t>Ayudas Sociales</w:t>
      </w:r>
      <w:r>
        <w:t xml:space="preserve">, se puede visualizar que se beneficiaron a 162,504 </w:t>
      </w:r>
      <w:r w:rsidR="00231817">
        <w:t xml:space="preserve">personas. Siendo los meses de mayo y septiembre los que registraron mayores beneficiarios, dado que en estos meses el país se vio afectado por intensas. </w:t>
      </w:r>
    </w:p>
    <w:p w:rsidR="00231817" w:rsidRPr="00231817" w:rsidRDefault="00231817">
      <w:r>
        <w:t xml:space="preserve">Por último, están los </w:t>
      </w:r>
      <w:r w:rsidRPr="00231817">
        <w:rPr>
          <w:i/>
        </w:rPr>
        <w:t xml:space="preserve">Servicios </w:t>
      </w:r>
      <w:r>
        <w:rPr>
          <w:i/>
        </w:rPr>
        <w:t>d</w:t>
      </w:r>
      <w:r w:rsidRPr="00231817">
        <w:rPr>
          <w:i/>
        </w:rPr>
        <w:t>e Salud</w:t>
      </w:r>
      <w:r>
        <w:rPr>
          <w:i/>
        </w:rPr>
        <w:t xml:space="preserve"> </w:t>
      </w:r>
      <w:r>
        <w:t xml:space="preserve">se beneficiaron unas 56,746 personas, correspondiente a pacientes consultados en el centro de salud sumado a los operativos médicos  </w:t>
      </w:r>
    </w:p>
    <w:p w:rsidR="00231817" w:rsidRDefault="00231817"/>
    <w:p w:rsidR="00AB2D31" w:rsidRDefault="00AB2D31"/>
    <w:p w:rsidR="00AB2D31" w:rsidRDefault="00AB2D31">
      <w:pPr>
        <w:rPr>
          <w:b/>
          <w:sz w:val="28"/>
        </w:rPr>
      </w:pPr>
      <w:r w:rsidRPr="00AB2D31">
        <w:rPr>
          <w:b/>
          <w:sz w:val="28"/>
        </w:rPr>
        <w:t xml:space="preserve">Raciones Alimenticias </w:t>
      </w:r>
    </w:p>
    <w:p w:rsidR="00AB2D31" w:rsidRDefault="00817D40">
      <w:pPr>
        <w:rPr>
          <w:b/>
          <w:sz w:val="28"/>
        </w:rPr>
      </w:pPr>
      <w:r w:rsidRPr="00817D40">
        <w:drawing>
          <wp:inline distT="0" distB="0" distL="0" distR="0" wp14:anchorId="18C16D01" wp14:editId="4F7F84BF">
            <wp:extent cx="6084376" cy="13198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89758" cy="1321009"/>
                    </a:xfrm>
                    <a:prstGeom prst="rect">
                      <a:avLst/>
                    </a:prstGeom>
                    <a:noFill/>
                    <a:ln>
                      <a:noFill/>
                    </a:ln>
                  </pic:spPr>
                </pic:pic>
              </a:graphicData>
            </a:graphic>
          </wp:inline>
        </w:drawing>
      </w:r>
    </w:p>
    <w:p w:rsidR="00AB2D31" w:rsidRDefault="00817D40">
      <w:pPr>
        <w:rPr>
          <w:b/>
          <w:sz w:val="28"/>
        </w:rPr>
      </w:pPr>
      <w:r>
        <w:rPr>
          <w:noProof/>
          <w:lang w:eastAsia="es-DO"/>
        </w:rPr>
        <w:lastRenderedPageBreak/>
        <w:drawing>
          <wp:inline distT="0" distB="0" distL="0" distR="0" wp14:anchorId="5741F77F" wp14:editId="2F30A18E">
            <wp:extent cx="4572000" cy="274320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B2D31" w:rsidRDefault="00AB2D31">
      <w:pPr>
        <w:rPr>
          <w:b/>
          <w:sz w:val="28"/>
        </w:rPr>
      </w:pPr>
    </w:p>
    <w:p w:rsidR="00AB2D31" w:rsidRDefault="00AB2D31" w:rsidP="00AB2D31">
      <w:pPr>
        <w:pStyle w:val="Prrafodelista"/>
        <w:numPr>
          <w:ilvl w:val="0"/>
          <w:numId w:val="1"/>
        </w:numPr>
        <w:rPr>
          <w:b/>
          <w:sz w:val="28"/>
        </w:rPr>
      </w:pPr>
      <w:r w:rsidRPr="00AB2D31">
        <w:rPr>
          <w:b/>
          <w:sz w:val="28"/>
        </w:rPr>
        <w:t xml:space="preserve">Ayudas Sociales </w:t>
      </w:r>
    </w:p>
    <w:p w:rsidR="00AB2D31" w:rsidRDefault="00B027E6" w:rsidP="00AB2D31">
      <w:pPr>
        <w:rPr>
          <w:b/>
          <w:sz w:val="28"/>
        </w:rPr>
      </w:pPr>
      <w:r w:rsidRPr="00B027E6">
        <w:drawing>
          <wp:inline distT="0" distB="0" distL="0" distR="0" wp14:anchorId="3867BF94" wp14:editId="7F2D516D">
            <wp:extent cx="6547449" cy="158726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53241" cy="1588664"/>
                    </a:xfrm>
                    <a:prstGeom prst="rect">
                      <a:avLst/>
                    </a:prstGeom>
                    <a:noFill/>
                    <a:ln>
                      <a:noFill/>
                    </a:ln>
                  </pic:spPr>
                </pic:pic>
              </a:graphicData>
            </a:graphic>
          </wp:inline>
        </w:drawing>
      </w:r>
    </w:p>
    <w:p w:rsidR="008B7687" w:rsidRDefault="00B027E6" w:rsidP="00AB2D31">
      <w:pPr>
        <w:rPr>
          <w:b/>
          <w:sz w:val="28"/>
        </w:rPr>
      </w:pPr>
      <w:r>
        <w:rPr>
          <w:noProof/>
          <w:lang w:eastAsia="es-DO"/>
        </w:rPr>
        <w:drawing>
          <wp:inline distT="0" distB="0" distL="0" distR="0" wp14:anchorId="5D2DA62A" wp14:editId="03A28150">
            <wp:extent cx="4572000" cy="27432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7687" w:rsidRDefault="008B7687" w:rsidP="00AB2D31">
      <w:pPr>
        <w:rPr>
          <w:b/>
          <w:sz w:val="28"/>
        </w:rPr>
      </w:pPr>
      <w:bookmarkStart w:id="0" w:name="_GoBack"/>
      <w:bookmarkEnd w:id="0"/>
    </w:p>
    <w:p w:rsidR="008B7687" w:rsidRDefault="00430EB1" w:rsidP="008B7687">
      <w:pPr>
        <w:pStyle w:val="Prrafodelista"/>
        <w:numPr>
          <w:ilvl w:val="0"/>
          <w:numId w:val="3"/>
        </w:numPr>
        <w:rPr>
          <w:b/>
          <w:sz w:val="28"/>
        </w:rPr>
      </w:pPr>
      <w:r>
        <w:rPr>
          <w:b/>
          <w:sz w:val="28"/>
        </w:rPr>
        <w:t>Servicios de S</w:t>
      </w:r>
      <w:r w:rsidR="008B7687" w:rsidRPr="008B7687">
        <w:rPr>
          <w:b/>
          <w:sz w:val="28"/>
        </w:rPr>
        <w:t xml:space="preserve">alud </w:t>
      </w:r>
    </w:p>
    <w:p w:rsidR="008B7687" w:rsidRDefault="00B027E6" w:rsidP="008B7687">
      <w:pPr>
        <w:rPr>
          <w:b/>
          <w:sz w:val="28"/>
        </w:rPr>
      </w:pPr>
      <w:r w:rsidRPr="00B027E6">
        <w:drawing>
          <wp:inline distT="0" distB="0" distL="0" distR="0" wp14:anchorId="2090DA17" wp14:editId="700B79D9">
            <wp:extent cx="6176513" cy="4209691"/>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1978" cy="4213416"/>
                    </a:xfrm>
                    <a:prstGeom prst="rect">
                      <a:avLst/>
                    </a:prstGeom>
                    <a:noFill/>
                    <a:ln>
                      <a:noFill/>
                    </a:ln>
                  </pic:spPr>
                </pic:pic>
              </a:graphicData>
            </a:graphic>
          </wp:inline>
        </w:drawing>
      </w:r>
    </w:p>
    <w:p w:rsidR="008B7687" w:rsidRPr="008B7687" w:rsidRDefault="004E705E" w:rsidP="008B7687">
      <w:pPr>
        <w:rPr>
          <w:b/>
          <w:sz w:val="28"/>
        </w:rPr>
      </w:pPr>
      <w:r>
        <w:rPr>
          <w:noProof/>
          <w:lang w:eastAsia="es-DO"/>
        </w:rPr>
        <w:lastRenderedPageBreak/>
        <w:drawing>
          <wp:inline distT="0" distB="0" distL="0" distR="0" wp14:anchorId="6B3B2906" wp14:editId="7551DCC7">
            <wp:extent cx="4572000" cy="3234906"/>
            <wp:effectExtent l="0" t="0" r="19050" b="2286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8B7687" w:rsidRPr="008B76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32" w:rsidRDefault="00015032" w:rsidP="00231817">
      <w:pPr>
        <w:spacing w:after="0" w:line="240" w:lineRule="auto"/>
      </w:pPr>
      <w:r>
        <w:separator/>
      </w:r>
    </w:p>
  </w:endnote>
  <w:endnote w:type="continuationSeparator" w:id="0">
    <w:p w:rsidR="00015032" w:rsidRDefault="00015032" w:rsidP="00231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32" w:rsidRDefault="00015032" w:rsidP="00231817">
      <w:pPr>
        <w:spacing w:after="0" w:line="240" w:lineRule="auto"/>
      </w:pPr>
      <w:r>
        <w:separator/>
      </w:r>
    </w:p>
  </w:footnote>
  <w:footnote w:type="continuationSeparator" w:id="0">
    <w:p w:rsidR="00015032" w:rsidRDefault="00015032" w:rsidP="00231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817" w:rsidRPr="00231817" w:rsidRDefault="00231817" w:rsidP="00231817">
    <w:pPr>
      <w:pStyle w:val="Encabezado"/>
      <w:jc w:val="right"/>
      <w:rPr>
        <w:b/>
        <w:i/>
        <w:sz w:val="16"/>
        <w:szCs w:val="16"/>
      </w:rPr>
    </w:pPr>
    <w:r w:rsidRPr="00231817">
      <w:rPr>
        <w:b/>
        <w:i/>
        <w:sz w:val="16"/>
        <w:szCs w:val="16"/>
      </w:rPr>
      <w:t>Elaborado: Departamento de Planificación y Desarrollo</w:t>
    </w:r>
    <w:r>
      <w:rPr>
        <w:b/>
        <w:i/>
        <w:sz w:val="16"/>
        <w:szCs w:val="16"/>
      </w:rPr>
      <w:t xml:space="preserve"> del PASP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4D9"/>
    <w:multiLevelType w:val="hybridMultilevel"/>
    <w:tmpl w:val="C3EA81A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1F4834B1"/>
    <w:multiLevelType w:val="hybridMultilevel"/>
    <w:tmpl w:val="601A24A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3CEC64AD"/>
    <w:multiLevelType w:val="hybridMultilevel"/>
    <w:tmpl w:val="03703CF4"/>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75"/>
    <w:rsid w:val="000033C1"/>
    <w:rsid w:val="00015032"/>
    <w:rsid w:val="000A748D"/>
    <w:rsid w:val="000C1E24"/>
    <w:rsid w:val="0014022E"/>
    <w:rsid w:val="00167C70"/>
    <w:rsid w:val="001A2F98"/>
    <w:rsid w:val="001A79EE"/>
    <w:rsid w:val="001C3C5B"/>
    <w:rsid w:val="00231817"/>
    <w:rsid w:val="002374B1"/>
    <w:rsid w:val="002730BE"/>
    <w:rsid w:val="002D3710"/>
    <w:rsid w:val="00301BC6"/>
    <w:rsid w:val="00324EDE"/>
    <w:rsid w:val="003B19A7"/>
    <w:rsid w:val="003E0974"/>
    <w:rsid w:val="003E2B7D"/>
    <w:rsid w:val="0042070B"/>
    <w:rsid w:val="00430EB1"/>
    <w:rsid w:val="004E705E"/>
    <w:rsid w:val="00504441"/>
    <w:rsid w:val="005365FF"/>
    <w:rsid w:val="00590436"/>
    <w:rsid w:val="0059466E"/>
    <w:rsid w:val="005C696D"/>
    <w:rsid w:val="00602707"/>
    <w:rsid w:val="0070516C"/>
    <w:rsid w:val="0075760B"/>
    <w:rsid w:val="00790B0D"/>
    <w:rsid w:val="007F3E5D"/>
    <w:rsid w:val="00817D40"/>
    <w:rsid w:val="00894F22"/>
    <w:rsid w:val="008B7687"/>
    <w:rsid w:val="009F1B96"/>
    <w:rsid w:val="00A95985"/>
    <w:rsid w:val="00AA2E12"/>
    <w:rsid w:val="00AB2D31"/>
    <w:rsid w:val="00AD10BE"/>
    <w:rsid w:val="00AF2BF9"/>
    <w:rsid w:val="00B027E6"/>
    <w:rsid w:val="00B0315B"/>
    <w:rsid w:val="00BA2380"/>
    <w:rsid w:val="00C2763F"/>
    <w:rsid w:val="00C42899"/>
    <w:rsid w:val="00C729B8"/>
    <w:rsid w:val="00C96D81"/>
    <w:rsid w:val="00CA5715"/>
    <w:rsid w:val="00CB1FEB"/>
    <w:rsid w:val="00D038F1"/>
    <w:rsid w:val="00D53BA2"/>
    <w:rsid w:val="00E05875"/>
    <w:rsid w:val="00E3633A"/>
    <w:rsid w:val="00EE18C4"/>
    <w:rsid w:val="00F03C8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 w:type="paragraph" w:styleId="Encabezado">
    <w:name w:val="header"/>
    <w:basedOn w:val="Normal"/>
    <w:link w:val="EncabezadoCar"/>
    <w:uiPriority w:val="99"/>
    <w:unhideWhenUsed/>
    <w:rsid w:val="002318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1817"/>
  </w:style>
  <w:style w:type="paragraph" w:styleId="Piedepgina">
    <w:name w:val="footer"/>
    <w:basedOn w:val="Normal"/>
    <w:link w:val="PiedepginaCar"/>
    <w:uiPriority w:val="99"/>
    <w:unhideWhenUsed/>
    <w:rsid w:val="002318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1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58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5875"/>
    <w:rPr>
      <w:rFonts w:ascii="Tahoma" w:hAnsi="Tahoma" w:cs="Tahoma"/>
      <w:sz w:val="16"/>
      <w:szCs w:val="16"/>
    </w:rPr>
  </w:style>
  <w:style w:type="table" w:styleId="Sombreadoclaro-nfasis5">
    <w:name w:val="Light Shading Accent 5"/>
    <w:basedOn w:val="Tablanormal"/>
    <w:uiPriority w:val="60"/>
    <w:rsid w:val="00E0587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4">
    <w:name w:val="Light Shading Accent 4"/>
    <w:basedOn w:val="Tablanormal"/>
    <w:uiPriority w:val="60"/>
    <w:rsid w:val="00E0587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3">
    <w:name w:val="Light Shading Accent 3"/>
    <w:basedOn w:val="Tablanormal"/>
    <w:uiPriority w:val="60"/>
    <w:rsid w:val="00E0587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
    <w:name w:val="Light Shading"/>
    <w:basedOn w:val="Tablanormal"/>
    <w:uiPriority w:val="60"/>
    <w:rsid w:val="00E0587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E058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xtodelmarcadordeposicin">
    <w:name w:val="Placeholder Text"/>
    <w:basedOn w:val="Fuentedeprrafopredeter"/>
    <w:uiPriority w:val="99"/>
    <w:semiHidden/>
    <w:rsid w:val="003E2B7D"/>
    <w:rPr>
      <w:color w:val="808080"/>
    </w:rPr>
  </w:style>
  <w:style w:type="paragraph" w:styleId="Prrafodelista">
    <w:name w:val="List Paragraph"/>
    <w:basedOn w:val="Normal"/>
    <w:uiPriority w:val="34"/>
    <w:qFormat/>
    <w:rsid w:val="00AB2D31"/>
    <w:pPr>
      <w:ind w:left="720"/>
      <w:contextualSpacing/>
    </w:pPr>
  </w:style>
  <w:style w:type="paragraph" w:styleId="Encabezado">
    <w:name w:val="header"/>
    <w:basedOn w:val="Normal"/>
    <w:link w:val="EncabezadoCar"/>
    <w:uiPriority w:val="99"/>
    <w:unhideWhenUsed/>
    <w:rsid w:val="002318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1817"/>
  </w:style>
  <w:style w:type="paragraph" w:styleId="Piedepgina">
    <w:name w:val="footer"/>
    <w:basedOn w:val="Normal"/>
    <w:link w:val="PiedepginaCar"/>
    <w:uiPriority w:val="99"/>
    <w:unhideWhenUsed/>
    <w:rsid w:val="002318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3527">
      <w:bodyDiv w:val="1"/>
      <w:marLeft w:val="0"/>
      <w:marRight w:val="0"/>
      <w:marTop w:val="0"/>
      <w:marBottom w:val="0"/>
      <w:divBdr>
        <w:top w:val="none" w:sz="0" w:space="0" w:color="auto"/>
        <w:left w:val="none" w:sz="0" w:space="0" w:color="auto"/>
        <w:bottom w:val="none" w:sz="0" w:space="0" w:color="auto"/>
        <w:right w:val="none" w:sz="0" w:space="0" w:color="auto"/>
      </w:divBdr>
    </w:div>
    <w:div w:id="839584912">
      <w:bodyDiv w:val="1"/>
      <w:marLeft w:val="0"/>
      <w:marRight w:val="0"/>
      <w:marTop w:val="0"/>
      <w:marBottom w:val="0"/>
      <w:divBdr>
        <w:top w:val="none" w:sz="0" w:space="0" w:color="auto"/>
        <w:left w:val="none" w:sz="0" w:space="0" w:color="auto"/>
        <w:bottom w:val="none" w:sz="0" w:space="0" w:color="auto"/>
        <w:right w:val="none" w:sz="0" w:space="0" w:color="auto"/>
      </w:divBdr>
    </w:div>
    <w:div w:id="1350519705">
      <w:bodyDiv w:val="1"/>
      <w:marLeft w:val="0"/>
      <w:marRight w:val="0"/>
      <w:marTop w:val="0"/>
      <w:marBottom w:val="0"/>
      <w:divBdr>
        <w:top w:val="none" w:sz="0" w:space="0" w:color="auto"/>
        <w:left w:val="none" w:sz="0" w:space="0" w:color="auto"/>
        <w:bottom w:val="none" w:sz="0" w:space="0" w:color="auto"/>
        <w:right w:val="none" w:sz="0" w:space="0" w:color="auto"/>
      </w:divBdr>
    </w:div>
    <w:div w:id="1809782335">
      <w:bodyDiv w:val="1"/>
      <w:marLeft w:val="0"/>
      <w:marRight w:val="0"/>
      <w:marTop w:val="0"/>
      <w:marBottom w:val="0"/>
      <w:divBdr>
        <w:top w:val="none" w:sz="0" w:space="0" w:color="auto"/>
        <w:left w:val="none" w:sz="0" w:space="0" w:color="auto"/>
        <w:bottom w:val="none" w:sz="0" w:space="0" w:color="auto"/>
        <w:right w:val="none" w:sz="0" w:space="0" w:color="auto"/>
      </w:divBdr>
    </w:div>
    <w:div w:id="1813936430">
      <w:bodyDiv w:val="1"/>
      <w:marLeft w:val="0"/>
      <w:marRight w:val="0"/>
      <w:marTop w:val="0"/>
      <w:marBottom w:val="0"/>
      <w:divBdr>
        <w:top w:val="none" w:sz="0" w:space="0" w:color="auto"/>
        <w:left w:val="none" w:sz="0" w:space="0" w:color="auto"/>
        <w:bottom w:val="none" w:sz="0" w:space="0" w:color="auto"/>
        <w:right w:val="none" w:sz="0" w:space="0" w:color="auto"/>
      </w:divBdr>
    </w:div>
    <w:div w:id="1987775803">
      <w:bodyDiv w:val="1"/>
      <w:marLeft w:val="0"/>
      <w:marRight w:val="0"/>
      <w:marTop w:val="0"/>
      <w:marBottom w:val="0"/>
      <w:divBdr>
        <w:top w:val="none" w:sz="0" w:space="0" w:color="auto"/>
        <w:left w:val="none" w:sz="0" w:space="0" w:color="auto"/>
        <w:bottom w:val="none" w:sz="0" w:space="0" w:color="auto"/>
        <w:right w:val="none" w:sz="0" w:space="0" w:color="auto"/>
      </w:divBdr>
    </w:div>
    <w:div w:id="2072918687">
      <w:bodyDiv w:val="1"/>
      <w:marLeft w:val="0"/>
      <w:marRight w:val="0"/>
      <w:marTop w:val="0"/>
      <w:marBottom w:val="0"/>
      <w:divBdr>
        <w:top w:val="none" w:sz="0" w:space="0" w:color="auto"/>
        <w:left w:val="none" w:sz="0" w:space="0" w:color="auto"/>
        <w:bottom w:val="none" w:sz="0" w:space="0" w:color="auto"/>
        <w:right w:val="none" w:sz="0" w:space="0" w:color="auto"/>
      </w:divBdr>
    </w:div>
    <w:div w:id="207804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es-DO" sz="900"/>
              <a:t>RACIONES DE ALIMENTOS-UNIDADES </a:t>
            </a:r>
          </a:p>
          <a:p>
            <a:pPr>
              <a:defRPr/>
            </a:pPr>
            <a:r>
              <a:rPr lang="es-DO" sz="900"/>
              <a:t>(enero-octubre</a:t>
            </a:r>
            <a:r>
              <a:rPr lang="es-DO" sz="900" baseline="0"/>
              <a:t> 2017)</a:t>
            </a:r>
            <a:endParaRPr lang="es-DO" sz="900"/>
          </a:p>
        </c:rich>
      </c:tx>
      <c:overlay val="0"/>
    </c:title>
    <c:autoTitleDeleted val="0"/>
    <c:plotArea>
      <c:layout/>
      <c:barChart>
        <c:barDir val="bar"/>
        <c:grouping val="clustered"/>
        <c:varyColors val="0"/>
        <c:ser>
          <c:idx val="0"/>
          <c:order val="0"/>
          <c:tx>
            <c:strRef>
              <c:f>Hoja1!$A$18</c:f>
              <c:strCache>
                <c:ptCount val="1"/>
                <c:pt idx="0">
                  <c:v>RACIONES DE ALIMENTOS-UNIDADES</c:v>
                </c:pt>
              </c:strCache>
            </c:strRef>
          </c:tx>
          <c:invertIfNegative val="0"/>
          <c:cat>
            <c:strRef>
              <c:f>Hoja1!$B$16:$K$17</c:f>
              <c:strCache>
                <c:ptCount val="10"/>
                <c:pt idx="0">
                  <c:v>ENERO</c:v>
                </c:pt>
                <c:pt idx="1">
                  <c:v>FEBRERO</c:v>
                </c:pt>
                <c:pt idx="2">
                  <c:v>MARZO</c:v>
                </c:pt>
                <c:pt idx="3">
                  <c:v>ABRIL</c:v>
                </c:pt>
                <c:pt idx="4">
                  <c:v>MAYO</c:v>
                </c:pt>
                <c:pt idx="5">
                  <c:v> JUNIO </c:v>
                </c:pt>
                <c:pt idx="6">
                  <c:v>JULIO</c:v>
                </c:pt>
                <c:pt idx="7">
                  <c:v>AGOSTO</c:v>
                </c:pt>
                <c:pt idx="8">
                  <c:v>SEPTIEMBRE </c:v>
                </c:pt>
                <c:pt idx="9">
                  <c:v>OCTUBRE</c:v>
                </c:pt>
              </c:strCache>
            </c:strRef>
          </c:cat>
          <c:val>
            <c:numRef>
              <c:f>Hoja1!$B$18:$K$18</c:f>
              <c:numCache>
                <c:formatCode>#,##0</c:formatCode>
                <c:ptCount val="10"/>
                <c:pt idx="0">
                  <c:v>7078</c:v>
                </c:pt>
                <c:pt idx="1">
                  <c:v>17867</c:v>
                </c:pt>
                <c:pt idx="2">
                  <c:v>88544</c:v>
                </c:pt>
                <c:pt idx="3">
                  <c:v>189791</c:v>
                </c:pt>
                <c:pt idx="4">
                  <c:v>197903</c:v>
                </c:pt>
                <c:pt idx="5">
                  <c:v>229390</c:v>
                </c:pt>
                <c:pt idx="6">
                  <c:v>146284</c:v>
                </c:pt>
                <c:pt idx="7">
                  <c:v>246622</c:v>
                </c:pt>
                <c:pt idx="8">
                  <c:v>427427</c:v>
                </c:pt>
                <c:pt idx="9">
                  <c:v>156844</c:v>
                </c:pt>
              </c:numCache>
            </c:numRef>
          </c:val>
        </c:ser>
        <c:dLbls>
          <c:showLegendKey val="0"/>
          <c:showVal val="0"/>
          <c:showCatName val="0"/>
          <c:showSerName val="0"/>
          <c:showPercent val="0"/>
          <c:showBubbleSize val="0"/>
        </c:dLbls>
        <c:gapWidth val="150"/>
        <c:axId val="151643648"/>
        <c:axId val="163563392"/>
      </c:barChart>
      <c:catAx>
        <c:axId val="151643648"/>
        <c:scaling>
          <c:orientation val="minMax"/>
        </c:scaling>
        <c:delete val="0"/>
        <c:axPos val="l"/>
        <c:majorTickMark val="out"/>
        <c:minorTickMark val="none"/>
        <c:tickLblPos val="nextTo"/>
        <c:txPr>
          <a:bodyPr/>
          <a:lstStyle/>
          <a:p>
            <a:pPr>
              <a:defRPr sz="900"/>
            </a:pPr>
            <a:endParaRPr lang="es-DO"/>
          </a:p>
        </c:txPr>
        <c:crossAx val="163563392"/>
        <c:crosses val="autoZero"/>
        <c:auto val="1"/>
        <c:lblAlgn val="ctr"/>
        <c:lblOffset val="100"/>
        <c:noMultiLvlLbl val="0"/>
      </c:catAx>
      <c:valAx>
        <c:axId val="163563392"/>
        <c:scaling>
          <c:orientation val="minMax"/>
        </c:scaling>
        <c:delete val="0"/>
        <c:axPos val="b"/>
        <c:numFmt formatCode="#,##0" sourceLinked="1"/>
        <c:majorTickMark val="out"/>
        <c:minorTickMark val="none"/>
        <c:tickLblPos val="nextTo"/>
        <c:crossAx val="151643648"/>
        <c:crosses val="autoZero"/>
        <c:crossBetween val="between"/>
      </c:valAx>
    </c:plotArea>
    <c:legend>
      <c:legendPos val="r"/>
      <c:overlay val="0"/>
      <c:txPr>
        <a:bodyPr/>
        <a:lstStyle/>
        <a:p>
          <a:pPr>
            <a:defRPr sz="900"/>
          </a:pPr>
          <a:endParaRPr lang="es-DO"/>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DO" sz="1000"/>
              <a:t>Total  Ayudas Sociales</a:t>
            </a:r>
          </a:p>
          <a:p>
            <a:pPr>
              <a:defRPr/>
            </a:pPr>
            <a:r>
              <a:rPr lang="es-DO" sz="1000"/>
              <a:t>(enero-octubre</a:t>
            </a:r>
            <a:r>
              <a:rPr lang="es-DO" sz="1000" baseline="0"/>
              <a:t> 2017)</a:t>
            </a:r>
            <a:r>
              <a:rPr lang="es-DO" sz="1000"/>
              <a:t> </a:t>
            </a:r>
          </a:p>
        </c:rich>
      </c:tx>
      <c:layout>
        <c:manualLayout>
          <c:xMode val="edge"/>
          <c:yMode val="edge"/>
          <c:x val="0.27143044619422574"/>
          <c:y val="3.7037037037037035E-2"/>
        </c:manualLayout>
      </c:layout>
      <c:overlay val="0"/>
    </c:title>
    <c:autoTitleDeleted val="0"/>
    <c:plotArea>
      <c:layout/>
      <c:barChart>
        <c:barDir val="bar"/>
        <c:grouping val="clustered"/>
        <c:varyColors val="0"/>
        <c:ser>
          <c:idx val="0"/>
          <c:order val="0"/>
          <c:tx>
            <c:strRef>
              <c:f>Hoja2!$A$15</c:f>
              <c:strCache>
                <c:ptCount val="1"/>
                <c:pt idx="0">
                  <c:v>Total  Ayudas Sociales </c:v>
                </c:pt>
              </c:strCache>
            </c:strRef>
          </c:tx>
          <c:invertIfNegative val="0"/>
          <c:cat>
            <c:strRef>
              <c:f>Hoja2!$B$13:$K$14</c:f>
              <c:strCache>
                <c:ptCount val="10"/>
                <c:pt idx="0">
                  <c:v>ENERO</c:v>
                </c:pt>
                <c:pt idx="1">
                  <c:v>FEBRERO</c:v>
                </c:pt>
                <c:pt idx="2">
                  <c:v>MARZO</c:v>
                </c:pt>
                <c:pt idx="3">
                  <c:v>ABRIL</c:v>
                </c:pt>
                <c:pt idx="4">
                  <c:v>MAYO</c:v>
                </c:pt>
                <c:pt idx="5">
                  <c:v> JUNIO </c:v>
                </c:pt>
                <c:pt idx="6">
                  <c:v>JULIO</c:v>
                </c:pt>
                <c:pt idx="7">
                  <c:v>AGOSTO</c:v>
                </c:pt>
                <c:pt idx="8">
                  <c:v>SEPTIEMBRE </c:v>
                </c:pt>
                <c:pt idx="9">
                  <c:v>OCTUBRE</c:v>
                </c:pt>
              </c:strCache>
            </c:strRef>
          </c:cat>
          <c:val>
            <c:numRef>
              <c:f>Hoja2!$B$15:$K$15</c:f>
              <c:numCache>
                <c:formatCode>General</c:formatCode>
                <c:ptCount val="10"/>
                <c:pt idx="0">
                  <c:v>380</c:v>
                </c:pt>
                <c:pt idx="1">
                  <c:v>361</c:v>
                </c:pt>
                <c:pt idx="2">
                  <c:v>1542</c:v>
                </c:pt>
                <c:pt idx="3">
                  <c:v>5928</c:v>
                </c:pt>
                <c:pt idx="4">
                  <c:v>35720</c:v>
                </c:pt>
                <c:pt idx="5">
                  <c:v>7168</c:v>
                </c:pt>
                <c:pt idx="6">
                  <c:v>1982</c:v>
                </c:pt>
                <c:pt idx="7">
                  <c:v>9770</c:v>
                </c:pt>
                <c:pt idx="8">
                  <c:v>80302</c:v>
                </c:pt>
                <c:pt idx="9">
                  <c:v>19351</c:v>
                </c:pt>
              </c:numCache>
            </c:numRef>
          </c:val>
        </c:ser>
        <c:dLbls>
          <c:showLegendKey val="0"/>
          <c:showVal val="0"/>
          <c:showCatName val="0"/>
          <c:showSerName val="0"/>
          <c:showPercent val="0"/>
          <c:showBubbleSize val="0"/>
        </c:dLbls>
        <c:gapWidth val="150"/>
        <c:axId val="179434240"/>
        <c:axId val="179435776"/>
      </c:barChart>
      <c:catAx>
        <c:axId val="179434240"/>
        <c:scaling>
          <c:orientation val="minMax"/>
        </c:scaling>
        <c:delete val="0"/>
        <c:axPos val="l"/>
        <c:majorTickMark val="out"/>
        <c:minorTickMark val="none"/>
        <c:tickLblPos val="nextTo"/>
        <c:crossAx val="179435776"/>
        <c:crosses val="autoZero"/>
        <c:auto val="1"/>
        <c:lblAlgn val="ctr"/>
        <c:lblOffset val="100"/>
        <c:noMultiLvlLbl val="0"/>
      </c:catAx>
      <c:valAx>
        <c:axId val="179435776"/>
        <c:scaling>
          <c:orientation val="minMax"/>
        </c:scaling>
        <c:delete val="0"/>
        <c:axPos val="b"/>
        <c:numFmt formatCode="General" sourceLinked="1"/>
        <c:majorTickMark val="out"/>
        <c:minorTickMark val="none"/>
        <c:tickLblPos val="nextTo"/>
        <c:crossAx val="17943424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'[Presupuesto Fisico al mes de AñO-2017 (19).xlsx]Hoja1'!$O$21</c:f>
              <c:strCache>
                <c:ptCount val="1"/>
                <c:pt idx="0">
                  <c:v>TOTAL DE PACIENTES CONSULTADOS</c:v>
                </c:pt>
              </c:strCache>
            </c:strRef>
          </c:tx>
          <c:invertIfNegative val="0"/>
          <c:cat>
            <c:strRef>
              <c:f>'[Presupuesto Fisico al mes de AñO-2017 (19).xlsx]Hoja1'!$P$20:$Y$20</c:f>
              <c:strCache>
                <c:ptCount val="10"/>
                <c:pt idx="0">
                  <c:v>ENE.</c:v>
                </c:pt>
                <c:pt idx="1">
                  <c:v>FEB.</c:v>
                </c:pt>
                <c:pt idx="2">
                  <c:v>MAR.</c:v>
                </c:pt>
                <c:pt idx="3">
                  <c:v>ABR. </c:v>
                </c:pt>
                <c:pt idx="4">
                  <c:v>MAY.</c:v>
                </c:pt>
                <c:pt idx="5">
                  <c:v>JUN.</c:v>
                </c:pt>
                <c:pt idx="6">
                  <c:v>JUL.</c:v>
                </c:pt>
                <c:pt idx="7">
                  <c:v>AGO.</c:v>
                </c:pt>
                <c:pt idx="8">
                  <c:v>SEP.</c:v>
                </c:pt>
                <c:pt idx="9">
                  <c:v>OCT.</c:v>
                </c:pt>
              </c:strCache>
            </c:strRef>
          </c:cat>
          <c:val>
            <c:numRef>
              <c:f>'[Presupuesto Fisico al mes de AñO-2017 (19).xlsx]Hoja1'!$P$21:$Y$21</c:f>
              <c:numCache>
                <c:formatCode>#,##0</c:formatCode>
                <c:ptCount val="10"/>
                <c:pt idx="0">
                  <c:v>3174</c:v>
                </c:pt>
                <c:pt idx="1">
                  <c:v>4352</c:v>
                </c:pt>
                <c:pt idx="2">
                  <c:v>5357</c:v>
                </c:pt>
                <c:pt idx="3">
                  <c:v>3128</c:v>
                </c:pt>
                <c:pt idx="4">
                  <c:v>4927</c:v>
                </c:pt>
                <c:pt idx="5">
                  <c:v>4595</c:v>
                </c:pt>
                <c:pt idx="6">
                  <c:v>4681</c:v>
                </c:pt>
                <c:pt idx="7">
                  <c:v>4821</c:v>
                </c:pt>
                <c:pt idx="8">
                  <c:v>3363</c:v>
                </c:pt>
                <c:pt idx="9">
                  <c:v>5388</c:v>
                </c:pt>
              </c:numCache>
            </c:numRef>
          </c:val>
        </c:ser>
        <c:ser>
          <c:idx val="1"/>
          <c:order val="1"/>
          <c:tx>
            <c:strRef>
              <c:f>'[Presupuesto Fisico al mes de AñO-2017 (19).xlsx]Hoja1'!$O$22</c:f>
              <c:strCache>
                <c:ptCount val="1"/>
                <c:pt idx="0">
                  <c:v>TOTAL DE PACIENTES ATENDIDOS EN OPERATIVOS MEDICOS</c:v>
                </c:pt>
              </c:strCache>
            </c:strRef>
          </c:tx>
          <c:invertIfNegative val="0"/>
          <c:cat>
            <c:strRef>
              <c:f>'[Presupuesto Fisico al mes de AñO-2017 (19).xlsx]Hoja1'!$P$20:$Y$20</c:f>
              <c:strCache>
                <c:ptCount val="10"/>
                <c:pt idx="0">
                  <c:v>ENE.</c:v>
                </c:pt>
                <c:pt idx="1">
                  <c:v>FEB.</c:v>
                </c:pt>
                <c:pt idx="2">
                  <c:v>MAR.</c:v>
                </c:pt>
                <c:pt idx="3">
                  <c:v>ABR. </c:v>
                </c:pt>
                <c:pt idx="4">
                  <c:v>MAY.</c:v>
                </c:pt>
                <c:pt idx="5">
                  <c:v>JUN.</c:v>
                </c:pt>
                <c:pt idx="6">
                  <c:v>JUL.</c:v>
                </c:pt>
                <c:pt idx="7">
                  <c:v>AGO.</c:v>
                </c:pt>
                <c:pt idx="8">
                  <c:v>SEP.</c:v>
                </c:pt>
                <c:pt idx="9">
                  <c:v>OCT.</c:v>
                </c:pt>
              </c:strCache>
            </c:strRef>
          </c:cat>
          <c:val>
            <c:numRef>
              <c:f>'[Presupuesto Fisico al mes de AñO-2017 (19).xlsx]Hoja1'!$P$22:$Y$22</c:f>
              <c:numCache>
                <c:formatCode>General</c:formatCode>
                <c:ptCount val="10"/>
                <c:pt idx="0">
                  <c:v>0</c:v>
                </c:pt>
                <c:pt idx="1">
                  <c:v>0</c:v>
                </c:pt>
                <c:pt idx="2">
                  <c:v>0</c:v>
                </c:pt>
                <c:pt idx="3">
                  <c:v>108</c:v>
                </c:pt>
                <c:pt idx="4">
                  <c:v>5473</c:v>
                </c:pt>
                <c:pt idx="5">
                  <c:v>0</c:v>
                </c:pt>
                <c:pt idx="6">
                  <c:v>0</c:v>
                </c:pt>
                <c:pt idx="7">
                  <c:v>795</c:v>
                </c:pt>
                <c:pt idx="8">
                  <c:v>2827</c:v>
                </c:pt>
                <c:pt idx="9">
                  <c:v>3753</c:v>
                </c:pt>
              </c:numCache>
            </c:numRef>
          </c:val>
        </c:ser>
        <c:dLbls>
          <c:showLegendKey val="0"/>
          <c:showVal val="0"/>
          <c:showCatName val="0"/>
          <c:showSerName val="0"/>
          <c:showPercent val="0"/>
          <c:showBubbleSize val="0"/>
        </c:dLbls>
        <c:gapWidth val="150"/>
        <c:axId val="136707072"/>
        <c:axId val="141701888"/>
      </c:barChart>
      <c:catAx>
        <c:axId val="136707072"/>
        <c:scaling>
          <c:orientation val="minMax"/>
        </c:scaling>
        <c:delete val="0"/>
        <c:axPos val="l"/>
        <c:majorTickMark val="out"/>
        <c:minorTickMark val="none"/>
        <c:tickLblPos val="nextTo"/>
        <c:crossAx val="141701888"/>
        <c:crosses val="autoZero"/>
        <c:auto val="1"/>
        <c:lblAlgn val="ctr"/>
        <c:lblOffset val="100"/>
        <c:noMultiLvlLbl val="0"/>
      </c:catAx>
      <c:valAx>
        <c:axId val="141701888"/>
        <c:scaling>
          <c:orientation val="minMax"/>
        </c:scaling>
        <c:delete val="0"/>
        <c:axPos val="b"/>
        <c:numFmt formatCode="#,##0" sourceLinked="1"/>
        <c:majorTickMark val="out"/>
        <c:minorTickMark val="none"/>
        <c:tickLblPos val="nextTo"/>
        <c:crossAx val="136707072"/>
        <c:crosses val="autoZero"/>
        <c:crossBetween val="between"/>
      </c:valAx>
    </c:plotArea>
    <c:legend>
      <c:legendPos val="r"/>
      <c:overlay val="0"/>
      <c:txPr>
        <a:bodyPr/>
        <a:lstStyle/>
        <a:p>
          <a:pPr>
            <a:defRPr sz="900"/>
          </a:pPr>
          <a:endParaRPr lang="es-DO"/>
        </a:p>
      </c:txPr>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9332-6973-421B-AFBE-CCC46202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669</Words>
  <Characters>3680</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Alcantara</dc:creator>
  <cp:lastModifiedBy>Pamela Alcantara</cp:lastModifiedBy>
  <cp:revision>3</cp:revision>
  <dcterms:created xsi:type="dcterms:W3CDTF">2017-11-17T17:43:00Z</dcterms:created>
  <dcterms:modified xsi:type="dcterms:W3CDTF">2017-11-17T18:07:00Z</dcterms:modified>
</cp:coreProperties>
</file>